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center"/>
        <w:outlineLvl w:val="0"/>
        <w:rPr>
          <w:rStyle w:val="19"/>
          <w:rFonts w:hint="eastAsia" w:ascii="仿宋_GB2312" w:hAnsi="仿宋_GB2312" w:eastAsia="仿宋_GB2312" w:cs="仿宋_GB2312"/>
          <w:color w:val="auto"/>
          <w:spacing w:val="8"/>
          <w:sz w:val="31"/>
          <w:szCs w:val="31"/>
          <w:shd w:val="clear" w:color="auto" w:fill="FFFFFF"/>
          <w:lang w:val="en-US" w:eastAsia="zh-CN"/>
        </w:rPr>
      </w:pPr>
      <w:r>
        <w:rPr>
          <w:rStyle w:val="19"/>
          <w:rFonts w:hint="eastAsia" w:ascii="仿宋_GB2312" w:hAnsi="仿宋_GB2312" w:eastAsia="仿宋_GB2312" w:cs="仿宋_GB2312"/>
          <w:color w:val="auto"/>
          <w:spacing w:val="8"/>
          <w:sz w:val="31"/>
          <w:szCs w:val="31"/>
          <w:shd w:val="clear" w:color="auto" w:fill="FFFFFF"/>
          <w:lang w:val="en-US" w:eastAsia="zh-CN"/>
        </w:rPr>
        <w:t>一、评审方法</w:t>
      </w:r>
    </w:p>
    <w:tbl>
      <w:tblPr>
        <w:tblStyle w:val="21"/>
        <w:tblW w:w="91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5" w:hRule="atLeast"/>
          <w:tblHeader/>
          <w:jc w:val="center"/>
        </w:trPr>
        <w:tc>
          <w:tcPr>
            <w:tcW w:w="750"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19" w:hRule="atLeast"/>
          <w:jc w:val="center"/>
        </w:trPr>
        <w:tc>
          <w:tcPr>
            <w:tcW w:w="75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vAlign w:val="center"/>
          </w:tcPr>
          <w:p>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pacing w:val="8"/>
                <w:sz w:val="24"/>
                <w:highlight w:val="none"/>
                <w:lang w:val="en-US" w:eastAsia="zh-CN"/>
              </w:rPr>
              <w:t>评审</w:t>
            </w:r>
            <w:r>
              <w:rPr>
                <w:rFonts w:hint="eastAsia" w:ascii="宋体" w:hAnsi="宋体" w:cs="宋体"/>
                <w:color w:val="auto"/>
                <w:spacing w:val="8"/>
                <w:sz w:val="24"/>
                <w:highlight w:val="none"/>
              </w:rPr>
              <w:t>小组组建</w:t>
            </w:r>
            <w:r>
              <w:rPr>
                <w:rFonts w:hint="eastAsia" w:ascii="宋体" w:hAnsi="宋体" w:cs="宋体"/>
                <w:bCs/>
                <w:color w:val="auto"/>
                <w:spacing w:val="8"/>
                <w:sz w:val="24"/>
                <w:highlight w:val="none"/>
              </w:rPr>
              <w:t>，</w:t>
            </w:r>
            <w:r>
              <w:rPr>
                <w:rFonts w:hint="eastAsia" w:ascii="宋体" w:hAnsi="宋体" w:cs="宋体"/>
                <w:color w:val="auto"/>
                <w:spacing w:val="8"/>
                <w:sz w:val="24"/>
                <w:highlight w:val="none"/>
              </w:rPr>
              <w:t>由</w:t>
            </w:r>
            <w:r>
              <w:rPr>
                <w:rFonts w:hint="eastAsia" w:ascii="宋体" w:hAnsi="宋体" w:cs="宋体"/>
                <w:color w:val="auto"/>
                <w:spacing w:val="8"/>
                <w:sz w:val="24"/>
                <w:highlight w:val="none"/>
                <w:lang w:val="en-US" w:eastAsia="zh-CN"/>
              </w:rPr>
              <w:t>比选人内部</w:t>
            </w:r>
            <w:r>
              <w:rPr>
                <w:rFonts w:hint="eastAsia" w:ascii="宋体" w:hAnsi="宋体" w:cs="宋体"/>
                <w:color w:val="auto"/>
                <w:spacing w:val="8"/>
                <w:sz w:val="24"/>
                <w:highlight w:val="none"/>
              </w:rPr>
              <w:t>3名或以上单数成员组成</w:t>
            </w:r>
            <w:r>
              <w:rPr>
                <w:rFonts w:hint="eastAsia" w:ascii="宋体" w:hAnsi="宋体" w:cs="宋体"/>
                <w:color w:val="auto"/>
                <w:spacing w:val="8"/>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49" w:hRule="atLeast"/>
          <w:jc w:val="center"/>
        </w:trPr>
        <w:tc>
          <w:tcPr>
            <w:tcW w:w="75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vAlign w:val="center"/>
          </w:tcPr>
          <w:p>
            <w:pPr>
              <w:keepNext w:val="0"/>
              <w:keepLines w:val="0"/>
              <w:suppressLineNumbers w:val="0"/>
              <w:spacing w:before="0" w:beforeAutospacing="0" w:after="0" w:afterAutospacing="0" w:line="336" w:lineRule="auto"/>
              <w:ind w:left="0" w:right="0"/>
              <w:rPr>
                <w:rFonts w:hint="default" w:ascii="宋体" w:hAnsi="宋体" w:cs="宋体"/>
                <w:sz w:val="24"/>
              </w:rPr>
            </w:pPr>
            <w:r>
              <w:rPr>
                <w:rFonts w:hint="eastAsia" w:ascii="宋体" w:hAnsi="宋体" w:cs="宋体"/>
                <w:sz w:val="24"/>
              </w:rPr>
              <w:t>1.</w:t>
            </w:r>
            <w:r>
              <w:rPr>
                <w:rFonts w:hint="eastAsia" w:ascii="宋体" w:hAnsi="宋体" w:cs="宋体"/>
                <w:sz w:val="24"/>
                <w:lang w:val="en-US" w:eastAsia="zh-CN"/>
              </w:rPr>
              <w:t>评审</w:t>
            </w:r>
            <w:r>
              <w:rPr>
                <w:rFonts w:hint="eastAsia" w:ascii="宋体" w:hAnsi="宋体" w:cs="宋体"/>
                <w:sz w:val="24"/>
              </w:rPr>
              <w:t>小组先开启资格审查部分进行评审，资格审查部分审查通过后</w:t>
            </w:r>
            <w:r>
              <w:rPr>
                <w:rFonts w:hint="eastAsia" w:ascii="宋体" w:hAnsi="宋体" w:cs="宋体"/>
                <w:sz w:val="24"/>
                <w:lang w:eastAsia="zh-CN"/>
              </w:rPr>
              <w:t>（</w:t>
            </w:r>
            <w:r>
              <w:rPr>
                <w:rFonts w:hint="eastAsia" w:ascii="宋体" w:hAnsi="宋体" w:cs="宋体"/>
                <w:sz w:val="24"/>
                <w:lang w:val="en-US" w:eastAsia="zh-CN"/>
              </w:rPr>
              <w:t>若符合资格的投标人少于3家时，经评审小组同意后可继续评标</w:t>
            </w:r>
            <w:r>
              <w:rPr>
                <w:rFonts w:hint="eastAsia" w:ascii="宋体" w:hAnsi="宋体" w:cs="宋体"/>
                <w:sz w:val="24"/>
                <w:lang w:eastAsia="zh-CN"/>
              </w:rPr>
              <w:t>）</w:t>
            </w:r>
            <w:r>
              <w:rPr>
                <w:rFonts w:hint="eastAsia" w:ascii="宋体" w:hAnsi="宋体" w:cs="宋体"/>
                <w:sz w:val="24"/>
              </w:rPr>
              <w:t>开启商务部分进行评审，商务部分评审结束后开启</w:t>
            </w:r>
            <w:r>
              <w:rPr>
                <w:rFonts w:hint="eastAsia" w:ascii="宋体" w:hAnsi="宋体" w:cs="宋体"/>
                <w:sz w:val="24"/>
                <w:lang w:val="en-US" w:eastAsia="zh-CN"/>
              </w:rPr>
              <w:t>技术</w:t>
            </w:r>
            <w:r>
              <w:rPr>
                <w:rFonts w:hint="eastAsia" w:ascii="宋体" w:hAnsi="宋体" w:cs="宋体"/>
                <w:sz w:val="24"/>
              </w:rPr>
              <w:t>部分进行评审；依据公平、公正原则，评</w:t>
            </w:r>
            <w:r>
              <w:rPr>
                <w:rFonts w:hint="eastAsia" w:ascii="宋体" w:hAnsi="宋体" w:cs="宋体"/>
                <w:sz w:val="24"/>
                <w:lang w:val="en-US" w:eastAsia="zh-CN"/>
              </w:rPr>
              <w:t>审</w:t>
            </w:r>
            <w:r>
              <w:rPr>
                <w:rFonts w:hint="eastAsia" w:ascii="宋体" w:hAnsi="宋体" w:cs="宋体"/>
                <w:sz w:val="24"/>
              </w:rPr>
              <w:t>小组应全面、充分地审阅</w:t>
            </w:r>
            <w:r>
              <w:rPr>
                <w:rFonts w:hint="eastAsia" w:ascii="宋体" w:hAnsi="宋体" w:cs="宋体"/>
                <w:sz w:val="24"/>
                <w:lang w:val="en-US" w:eastAsia="zh-CN"/>
              </w:rPr>
              <w:t>响应</w:t>
            </w:r>
            <w:r>
              <w:rPr>
                <w:rFonts w:hint="eastAsia" w:ascii="宋体" w:hAnsi="宋体" w:cs="宋体"/>
                <w:sz w:val="24"/>
              </w:rPr>
              <w:t>文件，进行评审和比较，采用“综合评分法”得出评价结论。完成评标后，评</w:t>
            </w:r>
            <w:r>
              <w:rPr>
                <w:rFonts w:hint="eastAsia" w:ascii="宋体" w:hAnsi="宋体" w:cs="宋体"/>
                <w:sz w:val="24"/>
                <w:lang w:val="en-US" w:eastAsia="zh-CN"/>
              </w:rPr>
              <w:t>审</w:t>
            </w:r>
            <w:r>
              <w:rPr>
                <w:rFonts w:hint="eastAsia" w:ascii="宋体" w:hAnsi="宋体" w:cs="宋体"/>
                <w:sz w:val="24"/>
              </w:rPr>
              <w:t>小组应按照投标人综合得分由高到低排序提出书面评标</w:t>
            </w:r>
            <w:r>
              <w:rPr>
                <w:rFonts w:hint="eastAsia" w:ascii="宋体" w:hAnsi="宋体" w:cs="宋体"/>
                <w:sz w:val="24"/>
                <w:lang w:val="en-US" w:eastAsia="zh-CN"/>
              </w:rPr>
              <w:t>意见</w:t>
            </w:r>
            <w:r>
              <w:rPr>
                <w:rFonts w:hint="eastAsia" w:ascii="宋体" w:hAnsi="宋体" w:cs="宋体"/>
                <w:sz w:val="24"/>
              </w:rPr>
              <w:t>，并由评</w:t>
            </w:r>
            <w:r>
              <w:rPr>
                <w:rFonts w:hint="eastAsia" w:ascii="宋体" w:hAnsi="宋体" w:cs="宋体"/>
                <w:sz w:val="24"/>
                <w:lang w:val="en-US" w:eastAsia="zh-CN"/>
              </w:rPr>
              <w:t>审</w:t>
            </w:r>
            <w:r>
              <w:rPr>
                <w:rFonts w:hint="eastAsia" w:ascii="宋体" w:hAnsi="宋体" w:cs="宋体"/>
                <w:sz w:val="24"/>
              </w:rPr>
              <w:t>小组全体成员签字。</w:t>
            </w:r>
          </w:p>
          <w:p>
            <w:pPr>
              <w:keepNext w:val="0"/>
              <w:keepLines w:val="0"/>
              <w:suppressLineNumbers w:val="0"/>
              <w:spacing w:before="0" w:beforeAutospacing="0" w:after="0" w:afterAutospacing="0" w:line="336" w:lineRule="auto"/>
              <w:ind w:left="0" w:right="0"/>
              <w:rPr>
                <w:rFonts w:hint="eastAsia" w:ascii="宋体" w:hAnsi="宋体" w:cs="宋体" w:eastAsiaTheme="minorEastAsia"/>
                <w:sz w:val="24"/>
                <w:lang w:eastAsia="zh-CN"/>
              </w:rPr>
            </w:pPr>
            <w:r>
              <w:rPr>
                <w:rFonts w:hint="eastAsia" w:ascii="宋体" w:hAnsi="宋体" w:cs="宋体"/>
                <w:sz w:val="24"/>
              </w:rPr>
              <w:t>2.</w:t>
            </w:r>
            <w:r>
              <w:rPr>
                <w:rFonts w:hint="eastAsia" w:ascii="宋体" w:hAnsi="宋体" w:cs="宋体"/>
                <w:sz w:val="24"/>
                <w:lang w:val="en-US" w:eastAsia="zh-CN"/>
              </w:rPr>
              <w:t>评审</w:t>
            </w:r>
            <w:r>
              <w:rPr>
                <w:rFonts w:hint="eastAsia" w:ascii="宋体" w:hAnsi="宋体" w:cs="宋体"/>
                <w:sz w:val="24"/>
              </w:rPr>
              <w:t>小组对</w:t>
            </w:r>
            <w:r>
              <w:rPr>
                <w:rFonts w:hint="eastAsia" w:ascii="宋体" w:hAnsi="宋体" w:cs="宋体"/>
                <w:sz w:val="24"/>
                <w:lang w:val="en-US" w:eastAsia="zh-CN"/>
              </w:rPr>
              <w:t>响应</w:t>
            </w:r>
            <w:r>
              <w:rPr>
                <w:rFonts w:hint="eastAsia" w:ascii="宋体" w:hAnsi="宋体" w:cs="宋体"/>
                <w:sz w:val="24"/>
              </w:rPr>
              <w:t>文件进行资格评审，通过资格评审的报价为有效报价，未完全响应</w:t>
            </w:r>
            <w:r>
              <w:rPr>
                <w:rFonts w:hint="eastAsia" w:ascii="宋体" w:hAnsi="宋体" w:cs="宋体"/>
                <w:sz w:val="24"/>
                <w:lang w:val="en-US" w:eastAsia="zh-CN"/>
              </w:rPr>
              <w:t>比选</w:t>
            </w:r>
            <w:r>
              <w:rPr>
                <w:rFonts w:hint="eastAsia" w:ascii="宋体" w:hAnsi="宋体" w:cs="宋体"/>
                <w:sz w:val="24"/>
              </w:rPr>
              <w:t>文件的投标人按报价无效处理</w:t>
            </w:r>
            <w:r>
              <w:rPr>
                <w:rFonts w:hint="eastAsia" w:ascii="宋体" w:hAnsi="宋体" w:cs="宋体"/>
                <w:sz w:val="24"/>
                <w:lang w:eastAsia="zh-CN"/>
              </w:rPr>
              <w:t>。</w:t>
            </w:r>
          </w:p>
          <w:p>
            <w:pPr>
              <w:keepNext w:val="0"/>
              <w:keepLines w:val="0"/>
              <w:suppressLineNumbers w:val="0"/>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rPr>
              <w:t>3.本次评审实行百分制，资格评审完成后</w:t>
            </w:r>
            <w:r>
              <w:rPr>
                <w:rFonts w:hint="eastAsia" w:ascii="宋体" w:hAnsi="宋体" w:cs="宋体"/>
                <w:sz w:val="24"/>
                <w:lang w:val="en-US" w:eastAsia="zh-CN"/>
              </w:rPr>
              <w:t>评审</w:t>
            </w:r>
            <w:r>
              <w:rPr>
                <w:rFonts w:hint="eastAsia" w:ascii="宋体" w:hAnsi="宋体" w:cs="宋体"/>
                <w:sz w:val="24"/>
              </w:rPr>
              <w:t>小组按综合得分由高到低进行排序，选出</w:t>
            </w:r>
            <w:r>
              <w:rPr>
                <w:rFonts w:hint="eastAsia" w:ascii="宋体" w:hAnsi="宋体" w:cs="宋体"/>
                <w:sz w:val="24"/>
                <w:lang w:val="en-US" w:eastAsia="zh-CN"/>
              </w:rPr>
              <w:t>得分</w:t>
            </w:r>
            <w:r>
              <w:rPr>
                <w:rFonts w:hint="eastAsia" w:ascii="宋体" w:hAnsi="宋体" w:cs="宋体"/>
                <w:sz w:val="24"/>
              </w:rPr>
              <w:t>最高的投标人作为中</w:t>
            </w:r>
            <w:r>
              <w:rPr>
                <w:rFonts w:hint="eastAsia" w:ascii="宋体" w:hAnsi="宋体" w:cs="宋体"/>
                <w:sz w:val="24"/>
                <w:lang w:val="en-US" w:eastAsia="zh-CN"/>
              </w:rPr>
              <w:t>标候选</w:t>
            </w:r>
            <w:r>
              <w:rPr>
                <w:rFonts w:hint="eastAsia" w:ascii="宋体" w:hAnsi="宋体" w:cs="宋体"/>
                <w:sz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989" w:hRule="atLeast"/>
          <w:jc w:val="center"/>
        </w:trPr>
        <w:tc>
          <w:tcPr>
            <w:tcW w:w="75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vAlign w:val="center"/>
          </w:tcPr>
          <w:p>
            <w:pPr>
              <w:keepNext w:val="0"/>
              <w:keepLines w:val="0"/>
              <w:suppressLineNumbers w:val="0"/>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pPr>
              <w:keepNext w:val="0"/>
              <w:keepLines w:val="0"/>
              <w:suppressLineNumbers w:val="0"/>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pPr>
              <w:keepNext w:val="0"/>
              <w:keepLines w:val="0"/>
              <w:suppressLineNumbers w:val="0"/>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pPr>
              <w:keepNext w:val="0"/>
              <w:keepLines w:val="0"/>
              <w:suppressLineNumbers w:val="0"/>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478" w:hRule="atLeast"/>
          <w:jc w:val="center"/>
        </w:trPr>
        <w:tc>
          <w:tcPr>
            <w:tcW w:w="75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vAlign w:val="center"/>
          </w:tcPr>
          <w:p>
            <w:pPr>
              <w:keepNext w:val="0"/>
              <w:keepLines w:val="0"/>
              <w:suppressLineNumbers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1.</w:t>
            </w:r>
            <w:r>
              <w:rPr>
                <w:rFonts w:hint="eastAsia" w:ascii="宋体" w:hAnsi="宋体" w:cs="宋体"/>
                <w:bCs/>
                <w:color w:val="auto"/>
                <w:spacing w:val="8"/>
                <w:sz w:val="24"/>
                <w:highlight w:val="none"/>
                <w:lang w:val="en-US" w:eastAsia="zh-CN"/>
              </w:rPr>
              <w:t>不符合比选公告中的供应商资格；</w:t>
            </w:r>
          </w:p>
          <w:p>
            <w:pPr>
              <w:keepNext w:val="0"/>
              <w:keepLines w:val="0"/>
              <w:suppressLineNumbers w:val="0"/>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lang w:val="en-US" w:eastAsia="zh-CN"/>
              </w:rPr>
              <w:t>2.</w:t>
            </w:r>
            <w:r>
              <w:rPr>
                <w:rFonts w:hint="eastAsia" w:ascii="宋体" w:hAnsi="宋体" w:cs="宋体"/>
                <w:bCs/>
                <w:color w:val="auto"/>
                <w:spacing w:val="8"/>
                <w:sz w:val="24"/>
                <w:highlight w:val="none"/>
              </w:rPr>
              <w:t>报价超过</w:t>
            </w:r>
            <w:r>
              <w:rPr>
                <w:rFonts w:hint="eastAsia" w:ascii="宋体" w:hAnsi="宋体" w:cs="宋体"/>
                <w:color w:val="auto"/>
                <w:spacing w:val="8"/>
                <w:sz w:val="24"/>
                <w:highlight w:val="none"/>
              </w:rPr>
              <w:t>最高限价；</w:t>
            </w:r>
          </w:p>
          <w:p>
            <w:pPr>
              <w:keepNext w:val="0"/>
              <w:keepLines w:val="0"/>
              <w:suppressLineNumbers w:val="0"/>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pPr>
              <w:keepNext w:val="0"/>
              <w:keepLines w:val="0"/>
              <w:suppressLineNumbers w:val="0"/>
              <w:adjustRightInd w:val="0"/>
              <w:snapToGrid w:val="0"/>
              <w:spacing w:before="0" w:beforeAutospacing="0" w:after="0" w:afterAutospacing="0" w:line="336" w:lineRule="auto"/>
              <w:ind w:left="0" w:right="0"/>
              <w:jc w:val="left"/>
              <w:rPr>
                <w:rFonts w:hint="default" w:ascii="宋体" w:hAnsi="宋体" w:cs="宋体"/>
                <w:bCs/>
                <w:spacing w:val="8"/>
                <w:sz w:val="24"/>
              </w:rPr>
            </w:pPr>
            <w:r>
              <w:rPr>
                <w:rFonts w:hint="eastAsia" w:ascii="宋体" w:hAnsi="宋体" w:cs="宋体"/>
                <w:bCs/>
                <w:spacing w:val="8"/>
                <w:sz w:val="24"/>
                <w:lang w:val="en-US" w:eastAsia="zh-CN"/>
              </w:rPr>
              <w:t>4</w:t>
            </w:r>
            <w:r>
              <w:rPr>
                <w:rFonts w:hint="eastAsia" w:ascii="宋体" w:hAnsi="宋体" w:cs="宋体"/>
                <w:bCs/>
                <w:spacing w:val="8"/>
                <w:sz w:val="24"/>
              </w:rPr>
              <w:t>.不同投标人的</w:t>
            </w:r>
            <w:r>
              <w:rPr>
                <w:rFonts w:hint="eastAsia" w:ascii="宋体" w:hAnsi="宋体" w:cs="宋体"/>
                <w:bCs/>
                <w:spacing w:val="8"/>
                <w:sz w:val="24"/>
                <w:lang w:val="en-US" w:eastAsia="zh-CN"/>
              </w:rPr>
              <w:t>投标</w:t>
            </w:r>
            <w:r>
              <w:rPr>
                <w:rFonts w:hint="eastAsia" w:ascii="宋体" w:hAnsi="宋体" w:cs="宋体"/>
                <w:bCs/>
                <w:spacing w:val="8"/>
                <w:sz w:val="24"/>
              </w:rPr>
              <w:t>文件载明的项目管理成员为同一人；</w:t>
            </w:r>
          </w:p>
          <w:p>
            <w:pPr>
              <w:keepNext w:val="0"/>
              <w:keepLines w:val="0"/>
              <w:suppressLineNumbers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报价</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pPr>
              <w:keepNext w:val="0"/>
              <w:keepLines w:val="0"/>
              <w:suppressLineNumbers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.使用伪造、变造的许可证件；</w:t>
            </w:r>
          </w:p>
          <w:p>
            <w:pPr>
              <w:keepNext w:val="0"/>
              <w:keepLines w:val="0"/>
              <w:suppressLineNumbers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.提供虚假的资质证照；</w:t>
            </w:r>
          </w:p>
          <w:p>
            <w:pPr>
              <w:keepNext w:val="0"/>
              <w:keepLines w:val="0"/>
              <w:suppressLineNumbers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.提供虚假的信用状况；</w:t>
            </w:r>
          </w:p>
          <w:p>
            <w:pPr>
              <w:keepNext w:val="0"/>
              <w:keepLines w:val="0"/>
              <w:suppressLineNumbers w:val="0"/>
              <w:adjustRightInd w:val="0"/>
              <w:snapToGrid w:val="0"/>
              <w:spacing w:before="0" w:beforeAutospacing="0" w:after="0" w:afterAutospacing="0" w:line="336" w:lineRule="auto"/>
              <w:ind w:left="0" w:right="0"/>
              <w:jc w:val="left"/>
              <w:rPr>
                <w:rFonts w:hint="default" w:ascii="宋体" w:hAnsi="宋体" w:cs="宋体"/>
                <w:bCs/>
                <w:spacing w:val="8"/>
                <w:sz w:val="24"/>
              </w:rPr>
            </w:pPr>
            <w:r>
              <w:rPr>
                <w:rFonts w:hint="eastAsia" w:ascii="宋体" w:hAnsi="宋体" w:cs="宋体"/>
                <w:bCs/>
                <w:spacing w:val="8"/>
                <w:sz w:val="24"/>
                <w:lang w:val="en-US" w:eastAsia="zh-CN"/>
              </w:rPr>
              <w:t>9</w:t>
            </w:r>
            <w:r>
              <w:rPr>
                <w:rFonts w:hint="eastAsia" w:ascii="宋体" w:hAnsi="宋体" w:cs="宋体"/>
                <w:bCs/>
                <w:spacing w:val="8"/>
                <w:sz w:val="24"/>
              </w:rPr>
              <w:t>.提供虚假业绩；</w:t>
            </w:r>
          </w:p>
          <w:p>
            <w:pPr>
              <w:keepNext w:val="0"/>
              <w:keepLines w:val="0"/>
              <w:suppressLineNumbers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10</w:t>
            </w:r>
            <w:r>
              <w:rPr>
                <w:rFonts w:hint="eastAsia" w:ascii="宋体" w:hAnsi="宋体" w:cs="宋体"/>
                <w:bCs/>
                <w:color w:val="auto"/>
                <w:spacing w:val="8"/>
                <w:sz w:val="24"/>
                <w:highlight w:val="none"/>
              </w:rPr>
              <w:t>.其他弄虚作假的行为。</w:t>
            </w:r>
          </w:p>
        </w:tc>
      </w:tr>
    </w:tbl>
    <w:p>
      <w:pPr>
        <w:spacing w:before="120" w:beforeLines="50" w:after="120" w:afterLines="50" w:line="500" w:lineRule="exact"/>
        <w:ind w:firstLine="3534" w:firstLineChars="1100"/>
        <w:jc w:val="both"/>
        <w:rPr>
          <w:rFonts w:ascii="Times New Roman" w:hAnsi="Times New Roman" w:eastAsia="宋体" w:cs="Times New Roman"/>
          <w:b/>
          <w:bCs/>
          <w:color w:val="auto"/>
          <w:sz w:val="32"/>
          <w:szCs w:val="32"/>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center"/>
        <w:outlineLvl w:val="0"/>
        <w:rPr>
          <w:rStyle w:val="19"/>
          <w:rFonts w:hint="eastAsia" w:ascii="仿宋_GB2312" w:hAnsi="仿宋_GB2312" w:eastAsia="仿宋_GB2312" w:cs="仿宋_GB2312"/>
          <w:color w:val="auto"/>
          <w:spacing w:val="8"/>
          <w:sz w:val="31"/>
          <w:szCs w:val="31"/>
          <w:shd w:val="clear" w:color="auto" w:fill="FFFFFF"/>
          <w:lang w:val="en-US" w:eastAsia="zh-CN"/>
        </w:rPr>
      </w:pPr>
      <w:r>
        <w:rPr>
          <w:rStyle w:val="19"/>
          <w:rFonts w:hint="eastAsia" w:ascii="仿宋_GB2312" w:hAnsi="仿宋_GB2312" w:eastAsia="仿宋_GB2312" w:cs="仿宋_GB2312"/>
          <w:color w:val="auto"/>
          <w:spacing w:val="8"/>
          <w:sz w:val="31"/>
          <w:szCs w:val="31"/>
          <w:shd w:val="clear" w:color="auto" w:fill="FFFFFF"/>
          <w:lang w:val="en-US" w:eastAsia="zh-CN"/>
        </w:rPr>
        <w:t>二、评分标准</w:t>
      </w:r>
    </w:p>
    <w:tbl>
      <w:tblPr>
        <w:tblStyle w:val="21"/>
        <w:tblW w:w="10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16"/>
        <w:gridCol w:w="691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145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评分内容</w:t>
            </w:r>
          </w:p>
        </w:tc>
        <w:tc>
          <w:tcPr>
            <w:tcW w:w="141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w:t>
            </w:r>
          </w:p>
        </w:tc>
        <w:tc>
          <w:tcPr>
            <w:tcW w:w="6913" w:type="dxa"/>
            <w:vAlign w:val="center"/>
          </w:tcPr>
          <w:p>
            <w:pPr>
              <w:keepNext w:val="0"/>
              <w:keepLines w:val="0"/>
              <w:suppressLineNumbers w:val="0"/>
              <w:spacing w:before="0" w:beforeAutospacing="0" w:after="0" w:afterAutospacing="0" w:line="360" w:lineRule="auto"/>
              <w:ind w:left="0" w:right="0"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评分细则</w:t>
            </w:r>
          </w:p>
        </w:tc>
        <w:tc>
          <w:tcPr>
            <w:tcW w:w="713"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8" w:hRule="atLeast"/>
          <w:jc w:val="center"/>
        </w:trPr>
        <w:tc>
          <w:tcPr>
            <w:tcW w:w="1455" w:type="dxa"/>
            <w:vMerge w:val="restart"/>
            <w:vAlign w:val="center"/>
          </w:tcPr>
          <w:p>
            <w:pPr>
              <w:keepNext w:val="0"/>
              <w:keepLines w:val="0"/>
              <w:numPr>
                <w:ilvl w:val="0"/>
                <w:numId w:val="0"/>
              </w:numPr>
              <w:suppressLineNumbers w:val="0"/>
              <w:spacing w:before="0" w:beforeLines="0" w:beforeAutospacing="0" w:after="0" w:afterLines="0" w:afterAutospacing="0"/>
              <w:ind w:left="0" w:right="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技术部分（80分）</w:t>
            </w:r>
          </w:p>
        </w:tc>
        <w:tc>
          <w:tcPr>
            <w:tcW w:w="1416" w:type="dxa"/>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业 绩</w:t>
            </w:r>
          </w:p>
        </w:tc>
        <w:tc>
          <w:tcPr>
            <w:tcW w:w="6913" w:type="dxa"/>
            <w:vAlign w:val="center"/>
          </w:tcPr>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2021年1月1日至今（以合同签订时间为准），投标人每提供一个内控监督评价业绩或内控审计业绩的得3分，最高得15分。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（投标文件中须提供业绩合同，扫描件应能辨识买卖双方公章、标的信息；如业绩合同不能体现以上全部内容，可提供业绩合同甲方盖公章的证明扫描件。否则，不得分。投标供应商与其关联</w:t>
            </w:r>
            <w:r>
              <w:rPr>
                <w:rFonts w:hint="eastAsia" w:ascii="宋体" w:hAnsi="宋体" w:eastAsia="宋体" w:cs="宋体"/>
                <w:b w:val="0"/>
                <w:bCs w:val="0"/>
                <w:color w:val="auto"/>
                <w:sz w:val="24"/>
                <w:szCs w:val="24"/>
                <w:highlight w:val="none"/>
                <w:lang w:val="en-US" w:eastAsia="zh-CN"/>
              </w:rPr>
              <w:t>单位</w:t>
            </w:r>
            <w:r>
              <w:rPr>
                <w:rFonts w:hint="eastAsia" w:ascii="宋体" w:hAnsi="宋体" w:eastAsia="宋体" w:cs="宋体"/>
                <w:color w:val="000000"/>
                <w:sz w:val="24"/>
                <w:szCs w:val="24"/>
                <w:highlight w:val="none"/>
                <w:lang w:val="en-US" w:eastAsia="zh-CN"/>
              </w:rPr>
              <w:t>（单位负责人为同一人或者存在直接控股、管理关系的不同供应商）之间签订的合同，均不予认可。）</w:t>
            </w:r>
          </w:p>
        </w:tc>
        <w:tc>
          <w:tcPr>
            <w:tcW w:w="713"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FF0000"/>
                <w:sz w:val="24"/>
                <w:szCs w:val="24"/>
                <w:highlight w:val="none"/>
                <w:lang w:val="en-US" w:eastAsia="zh-CN"/>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jc w:val="center"/>
        </w:trPr>
        <w:tc>
          <w:tcPr>
            <w:tcW w:w="1455" w:type="dxa"/>
            <w:vMerge w:val="continue"/>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p>
        </w:tc>
        <w:tc>
          <w:tcPr>
            <w:tcW w:w="1416" w:type="dxa"/>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项目组成员</w:t>
            </w:r>
          </w:p>
        </w:tc>
        <w:tc>
          <w:tcPr>
            <w:tcW w:w="6913" w:type="dxa"/>
            <w:vAlign w:val="center"/>
          </w:tcPr>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bookmarkStart w:id="0" w:name="OLE_LINK2"/>
            <w:bookmarkStart w:id="1" w:name="OLE_LINK3"/>
            <w:r>
              <w:rPr>
                <w:rFonts w:hint="eastAsia" w:ascii="宋体" w:hAnsi="宋体" w:eastAsia="宋体" w:cs="宋体"/>
                <w:color w:val="000000"/>
                <w:sz w:val="24"/>
                <w:szCs w:val="24"/>
                <w:highlight w:val="none"/>
                <w:lang w:val="en-US" w:eastAsia="zh-CN"/>
              </w:rPr>
              <w:t>拟派项目成员中（含项目负责人）具有注册会计师证书的，每提供1个得1分，最高得5分。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bookmarkStart w:id="2" w:name="OLE_LINK1"/>
            <w:r>
              <w:rPr>
                <w:rFonts w:hint="eastAsia" w:ascii="宋体" w:hAnsi="宋体" w:eastAsia="宋体" w:cs="宋体"/>
                <w:color w:val="000000"/>
                <w:sz w:val="24"/>
                <w:szCs w:val="24"/>
                <w:highlight w:val="none"/>
                <w:lang w:val="en-US" w:eastAsia="zh-CN"/>
              </w:rPr>
              <w:t>注：</w:t>
            </w:r>
            <w:bookmarkEnd w:id="0"/>
            <w:bookmarkEnd w:id="2"/>
            <w:r>
              <w:rPr>
                <w:rFonts w:hint="eastAsia" w:ascii="宋体" w:hAnsi="宋体" w:eastAsia="宋体" w:cs="宋体"/>
                <w:color w:val="000000"/>
                <w:sz w:val="24"/>
                <w:szCs w:val="24"/>
                <w:highlight w:val="none"/>
                <w:lang w:val="en-US" w:eastAsia="zh-CN"/>
              </w:rPr>
              <w:t>需提供注册证书和投标截止日前近3个月的的社保缴纳证明材料。</w:t>
            </w:r>
            <w:bookmarkEnd w:id="1"/>
          </w:p>
        </w:tc>
        <w:tc>
          <w:tcPr>
            <w:tcW w:w="713" w:type="dxa"/>
            <w:vAlign w:val="center"/>
          </w:tcPr>
          <w:p>
            <w:pPr>
              <w:keepNext w:val="0"/>
              <w:keepLines w:val="0"/>
              <w:numPr>
                <w:ilvl w:val="0"/>
                <w:numId w:val="0"/>
              </w:numPr>
              <w:suppressLineNumbers w:val="0"/>
              <w:spacing w:before="0" w:beforeLines="0" w:beforeAutospacing="0" w:after="0" w:afterLines="0" w:afterAutospacing="0"/>
              <w:ind w:left="0" w:right="0" w:right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0" w:hRule="atLeast"/>
          <w:jc w:val="center"/>
        </w:trPr>
        <w:tc>
          <w:tcPr>
            <w:tcW w:w="1455" w:type="dxa"/>
            <w:vMerge w:val="continue"/>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p>
        </w:tc>
        <w:tc>
          <w:tcPr>
            <w:tcW w:w="1416" w:type="dxa"/>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总体服务    方案</w:t>
            </w:r>
          </w:p>
        </w:tc>
        <w:tc>
          <w:tcPr>
            <w:tcW w:w="6913" w:type="dxa"/>
            <w:vAlign w:val="center"/>
          </w:tcPr>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根据项目要求及特点，提供总体服务方案。 </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1.方案内容全面、清晰、要点突出，充分考虑项目的实际情况进行编制、针对性强，可操作性强，完全满足采购需求的，得12-15分； </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2.方案内容完整、有方案要点，具有一定的针对性、可操作性，能够较好满足 采购需求的，得8-11分； </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3.方案内容较完整，针对性、可操作性一般，可以满足采购需求的，得4-7分；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4.方案内容一般、针对性、可操作性有待提高，贴合采购需求一般的，得0-3分。 </w:t>
            </w:r>
          </w:p>
        </w:tc>
        <w:tc>
          <w:tcPr>
            <w:tcW w:w="713"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FF0000"/>
                <w:sz w:val="24"/>
                <w:szCs w:val="24"/>
                <w:lang w:val="en-US" w:eastAsia="zh-CN"/>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jc w:val="center"/>
        </w:trPr>
        <w:tc>
          <w:tcPr>
            <w:tcW w:w="1455" w:type="dxa"/>
            <w:vMerge w:val="continue"/>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p>
        </w:tc>
        <w:tc>
          <w:tcPr>
            <w:tcW w:w="1416" w:type="dxa"/>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2"/>
                <w:szCs w:val="22"/>
              </w:rPr>
              <w:t>管理体系及质量保证措施</w:t>
            </w:r>
            <w:r>
              <w:rPr>
                <w:rFonts w:hint="eastAsia" w:ascii="宋体" w:hAnsi="宋体" w:eastAsia="宋体" w:cs="宋体"/>
                <w:sz w:val="22"/>
                <w:szCs w:val="22"/>
                <w:lang w:eastAsia="zh-CN"/>
              </w:rPr>
              <w:t xml:space="preserve"> </w:t>
            </w:r>
          </w:p>
        </w:tc>
        <w:tc>
          <w:tcPr>
            <w:tcW w:w="6913" w:type="dxa"/>
            <w:vAlign w:val="center"/>
          </w:tcPr>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咨询服务质量控制措施、重难点分析和对策方法。</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1.对咨询服务质量控制措施的阐述，内容全面完整、科学合理、可操作性强，得10-15分；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2.内容基本完整、可操作性较强，得5-9分；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3.内容简单、可操作性不强，得0-4分；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4.没有内容，得0分。</w:t>
            </w:r>
          </w:p>
        </w:tc>
        <w:tc>
          <w:tcPr>
            <w:tcW w:w="71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jc w:val="center"/>
        </w:trPr>
        <w:tc>
          <w:tcPr>
            <w:tcW w:w="1455" w:type="dxa"/>
            <w:vMerge w:val="continue"/>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p>
        </w:tc>
        <w:tc>
          <w:tcPr>
            <w:tcW w:w="1416" w:type="dxa"/>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2"/>
                <w:szCs w:val="22"/>
              </w:rPr>
              <w:t>进度计划及控制</w:t>
            </w:r>
          </w:p>
        </w:tc>
        <w:tc>
          <w:tcPr>
            <w:tcW w:w="6913" w:type="dxa"/>
            <w:vAlign w:val="center"/>
          </w:tcPr>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有进度保证措施和切实可行的进度计划表。</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1.进度安排及控制方法合理、符合采购人要求，得10-15分；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2.进度安排及控制方法基本可行，得5-9分；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3.进度安排及控制方法简单、实质性措施不力，得0-4分；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4.没有内容，得0分。</w:t>
            </w:r>
          </w:p>
        </w:tc>
        <w:tc>
          <w:tcPr>
            <w:tcW w:w="713"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4" w:hRule="atLeast"/>
          <w:jc w:val="center"/>
        </w:trPr>
        <w:tc>
          <w:tcPr>
            <w:tcW w:w="1455" w:type="dxa"/>
            <w:vMerge w:val="continue"/>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p>
        </w:tc>
        <w:tc>
          <w:tcPr>
            <w:tcW w:w="1416" w:type="dxa"/>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服务中的重难点控制措施</w:t>
            </w:r>
          </w:p>
        </w:tc>
        <w:tc>
          <w:tcPr>
            <w:tcW w:w="6913" w:type="dxa"/>
            <w:vAlign w:val="center"/>
          </w:tcPr>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针对本项目，在服务过程中的关键内容、重难点进行阐述，并提出详细的重难 关键环节解决方案及控制措施。 </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1.重难点分析准确，解决方案贴合项目实际的，得10-15分； </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2.重难点分析较为准确，解决方案较为贴合项目实际的，得5-9分； </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3.重难点分析较一般，解决方案基本贴合项目实际的，得0-4分；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sz w:val="22"/>
                <w:szCs w:val="22"/>
              </w:rPr>
              <w:t>没有内容，得0分。</w:t>
            </w:r>
          </w:p>
        </w:tc>
        <w:tc>
          <w:tcPr>
            <w:tcW w:w="713" w:type="dxa"/>
            <w:vAlign w:val="center"/>
          </w:tcPr>
          <w:p>
            <w:pPr>
              <w:keepNext w:val="0"/>
              <w:keepLines w:val="0"/>
              <w:numPr>
                <w:ilvl w:val="0"/>
                <w:numId w:val="0"/>
              </w:numPr>
              <w:suppressLineNumbers w:val="0"/>
              <w:spacing w:before="0" w:beforeLines="0" w:beforeAutospacing="0" w:after="0" w:afterLines="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2" w:hRule="atLeast"/>
          <w:jc w:val="center"/>
        </w:trPr>
        <w:tc>
          <w:tcPr>
            <w:tcW w:w="145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商务部分（20分）</w:t>
            </w:r>
          </w:p>
        </w:tc>
        <w:tc>
          <w:tcPr>
            <w:tcW w:w="141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投标价格</w:t>
            </w:r>
          </w:p>
        </w:tc>
        <w:tc>
          <w:tcPr>
            <w:tcW w:w="6913" w:type="dxa"/>
            <w:vAlign w:val="center"/>
          </w:tcPr>
          <w:p>
            <w:pPr>
              <w:pStyle w:val="36"/>
              <w:keepNext w:val="0"/>
              <w:keepLines w:val="0"/>
              <w:suppressLineNumbers w:val="0"/>
              <w:spacing w:before="38" w:beforeAutospacing="0" w:after="0" w:afterAutospacing="0" w:line="218" w:lineRule="auto"/>
              <w:ind w:left="0" w:right="0"/>
              <w:rPr>
                <w:rFonts w:hint="default" w:ascii="宋体" w:hAnsi="宋体" w:eastAsia="宋体" w:cs="宋体"/>
                <w:color w:val="000000"/>
                <w:kern w:val="2"/>
                <w:sz w:val="24"/>
                <w:szCs w:val="24"/>
                <w:highlight w:val="none"/>
                <w:lang w:val="en-US" w:eastAsia="zh-CN" w:bidi="ar-SA"/>
              </w:rPr>
            </w:pPr>
            <w:r>
              <w:rPr>
                <w:rFonts w:hint="default"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w:t>
            </w:r>
            <w:r>
              <w:rPr>
                <w:rFonts w:hint="default" w:ascii="宋体" w:hAnsi="宋体" w:eastAsia="宋体" w:cs="宋体"/>
                <w:color w:val="000000"/>
                <w:kern w:val="2"/>
                <w:sz w:val="24"/>
                <w:szCs w:val="24"/>
                <w:highlight w:val="none"/>
                <w:lang w:val="en-US" w:eastAsia="zh-CN" w:bidi="ar-SA"/>
              </w:rPr>
              <w:t>评标基准价：</w:t>
            </w:r>
          </w:p>
          <w:p>
            <w:pPr>
              <w:pStyle w:val="36"/>
              <w:keepNext w:val="0"/>
              <w:keepLines w:val="0"/>
              <w:suppressLineNumbers w:val="0"/>
              <w:spacing w:before="26" w:beforeAutospacing="0" w:after="0" w:afterAutospacing="0"/>
              <w:ind w:left="0" w:right="107"/>
              <w:rPr>
                <w:rFonts w:hint="default" w:ascii="宋体" w:hAnsi="宋体" w:eastAsia="宋体" w:cs="宋体"/>
                <w:color w:val="000000"/>
                <w:kern w:val="2"/>
                <w:sz w:val="24"/>
                <w:szCs w:val="24"/>
                <w:highlight w:val="none"/>
                <w:lang w:val="en-US" w:eastAsia="zh-CN" w:bidi="ar-SA"/>
              </w:rPr>
            </w:pPr>
            <w:r>
              <w:rPr>
                <w:rFonts w:hint="default" w:ascii="宋体" w:hAnsi="宋体" w:eastAsia="宋体" w:cs="宋体"/>
                <w:color w:val="000000"/>
                <w:kern w:val="2"/>
                <w:sz w:val="24"/>
                <w:szCs w:val="24"/>
                <w:highlight w:val="none"/>
                <w:lang w:val="en-US" w:eastAsia="zh-CN" w:bidi="ar-SA"/>
              </w:rPr>
              <w:t>取所有有效报价（指初步审查都合格的投标人的含税投标总报价）的算术平均值作为评标基准价。</w:t>
            </w:r>
          </w:p>
          <w:p>
            <w:pPr>
              <w:pStyle w:val="36"/>
              <w:keepNext w:val="0"/>
              <w:keepLines w:val="0"/>
              <w:suppressLineNumbers w:val="0"/>
              <w:spacing w:before="0" w:beforeAutospacing="0" w:after="0" w:afterAutospacing="0" w:line="219" w:lineRule="auto"/>
              <w:ind w:left="0" w:right="0"/>
              <w:rPr>
                <w:rFonts w:hint="default" w:ascii="宋体" w:hAnsi="宋体" w:eastAsia="宋体" w:cs="宋体"/>
                <w:color w:val="000000"/>
                <w:kern w:val="2"/>
                <w:sz w:val="24"/>
                <w:szCs w:val="24"/>
                <w:highlight w:val="none"/>
                <w:lang w:val="en-US" w:eastAsia="zh-CN" w:bidi="ar-SA"/>
              </w:rPr>
            </w:pPr>
            <w:r>
              <w:rPr>
                <w:rFonts w:hint="default"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w:t>
            </w:r>
            <w:r>
              <w:rPr>
                <w:rFonts w:hint="default" w:ascii="宋体" w:hAnsi="宋体" w:eastAsia="宋体" w:cs="宋体"/>
                <w:color w:val="000000"/>
                <w:kern w:val="2"/>
                <w:sz w:val="24"/>
                <w:szCs w:val="24"/>
                <w:highlight w:val="none"/>
                <w:lang w:val="en-US" w:eastAsia="zh-CN" w:bidi="ar-SA"/>
              </w:rPr>
              <w:t>得分计算方法：</w:t>
            </w:r>
          </w:p>
          <w:p>
            <w:pPr>
              <w:pStyle w:val="36"/>
              <w:keepNext w:val="0"/>
              <w:keepLines w:val="0"/>
              <w:suppressLineNumbers w:val="0"/>
              <w:spacing w:before="26" w:beforeAutospacing="0" w:after="0" w:afterAutospacing="0" w:line="218" w:lineRule="auto"/>
              <w:ind w:left="0" w:right="0"/>
              <w:rPr>
                <w:rFonts w:hint="default" w:ascii="宋体" w:hAnsi="宋体" w:eastAsia="宋体" w:cs="宋体"/>
                <w:color w:val="000000"/>
                <w:kern w:val="2"/>
                <w:sz w:val="24"/>
                <w:szCs w:val="24"/>
                <w:highlight w:val="none"/>
                <w:lang w:val="en-US" w:eastAsia="zh-CN" w:bidi="ar-SA"/>
              </w:rPr>
            </w:pPr>
            <w:r>
              <w:rPr>
                <w:rFonts w:hint="default" w:ascii="宋体" w:hAnsi="宋体" w:eastAsia="宋体" w:cs="宋体"/>
                <w:color w:val="000000"/>
                <w:kern w:val="2"/>
                <w:sz w:val="24"/>
                <w:szCs w:val="24"/>
                <w:highlight w:val="none"/>
                <w:lang w:val="en-US" w:eastAsia="zh-CN" w:bidi="ar-SA"/>
              </w:rPr>
              <w:t>（1）有效投标报价等于评标基准价的得满分</w:t>
            </w:r>
            <w:r>
              <w:rPr>
                <w:rFonts w:hint="eastAsia"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0</w:t>
            </w:r>
            <w:r>
              <w:rPr>
                <w:rFonts w:hint="default" w:ascii="宋体" w:hAnsi="宋体" w:eastAsia="宋体" w:cs="宋体"/>
                <w:color w:val="000000"/>
                <w:kern w:val="2"/>
                <w:sz w:val="24"/>
                <w:szCs w:val="24"/>
                <w:highlight w:val="none"/>
                <w:lang w:val="en-US" w:eastAsia="zh-CN" w:bidi="ar-SA"/>
              </w:rPr>
              <w:t>分；</w:t>
            </w:r>
          </w:p>
          <w:p>
            <w:pPr>
              <w:keepNext w:val="0"/>
              <w:keepLines w:val="0"/>
              <w:numPr>
                <w:ilvl w:val="0"/>
                <w:numId w:val="0"/>
              </w:numPr>
              <w:suppressLineNumbers w:val="0"/>
              <w:spacing w:before="0" w:beforeLines="0" w:beforeAutospacing="0" w:after="0" w:afterLines="0" w:afterAutospacing="0"/>
              <w:ind w:left="0" w:right="0"/>
              <w:jc w:val="left"/>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kern w:val="2"/>
                <w:sz w:val="24"/>
                <w:szCs w:val="24"/>
                <w:highlight w:val="none"/>
                <w:lang w:val="en-US" w:eastAsia="zh-CN" w:bidi="ar-SA"/>
              </w:rPr>
              <w:t xml:space="preserve">（2）每高于基准价 1％扣 </w:t>
            </w:r>
            <w:r>
              <w:rPr>
                <w:rFonts w:hint="eastAsia" w:ascii="宋体" w:hAnsi="宋体" w:eastAsia="宋体" w:cs="宋体"/>
                <w:color w:val="000000"/>
                <w:kern w:val="2"/>
                <w:sz w:val="24"/>
                <w:szCs w:val="24"/>
                <w:highlight w:val="none"/>
                <w:lang w:val="en-US" w:eastAsia="zh-CN" w:bidi="ar-SA"/>
              </w:rPr>
              <w:t>0.5</w:t>
            </w:r>
            <w:r>
              <w:rPr>
                <w:rFonts w:hint="default" w:ascii="宋体" w:hAnsi="宋体" w:eastAsia="宋体" w:cs="宋体"/>
                <w:color w:val="000000"/>
                <w:kern w:val="2"/>
                <w:sz w:val="24"/>
                <w:szCs w:val="24"/>
                <w:highlight w:val="none"/>
                <w:lang w:val="en-US" w:eastAsia="zh-CN" w:bidi="ar-SA"/>
              </w:rPr>
              <w:t>分，每低于基准价1％扣0.</w:t>
            </w:r>
            <w:r>
              <w:rPr>
                <w:rFonts w:hint="eastAsia" w:ascii="宋体" w:hAnsi="宋体" w:eastAsia="宋体" w:cs="宋体"/>
                <w:color w:val="000000"/>
                <w:kern w:val="2"/>
                <w:sz w:val="24"/>
                <w:szCs w:val="24"/>
                <w:highlight w:val="none"/>
                <w:lang w:val="en-US" w:eastAsia="zh-CN" w:bidi="ar-SA"/>
              </w:rPr>
              <w:t>2</w:t>
            </w:r>
            <w:r>
              <w:rPr>
                <w:rFonts w:hint="default" w:ascii="宋体" w:hAnsi="宋体" w:eastAsia="宋体" w:cs="宋体"/>
                <w:color w:val="000000"/>
                <w:kern w:val="2"/>
                <w:sz w:val="24"/>
                <w:szCs w:val="24"/>
                <w:highlight w:val="none"/>
                <w:lang w:val="en-US" w:eastAsia="zh-CN" w:bidi="ar-SA"/>
              </w:rPr>
              <w:t>分，扣完为止，小数保留两位。</w:t>
            </w:r>
          </w:p>
        </w:tc>
        <w:tc>
          <w:tcPr>
            <w:tcW w:w="713" w:type="dxa"/>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20</w:t>
            </w:r>
          </w:p>
        </w:tc>
      </w:tr>
    </w:tbl>
    <w:p>
      <w:pPr>
        <w:pStyle w:val="14"/>
        <w:ind w:firstLine="0" w:firstLineChars="0"/>
        <w:jc w:val="both"/>
        <w:rPr>
          <w:rFonts w:hint="eastAsia" w:ascii="宋体" w:hAnsi="宋体" w:eastAsia="宋体" w:cs="宋体"/>
          <w:b/>
          <w:bCs/>
          <w:sz w:val="28"/>
          <w:szCs w:val="28"/>
          <w:lang w:val="en-US" w:eastAsia="zh-CN"/>
        </w:rPr>
      </w:pPr>
    </w:p>
    <w:p>
      <w:pPr>
        <w:pStyle w:val="14"/>
        <w:ind w:firstLine="0" w:firstLineChars="0"/>
        <w:jc w:val="center"/>
        <w:outlineLvl w:val="0"/>
        <w:rPr>
          <w:rFonts w:hint="eastAsia" w:ascii="宋体" w:hAnsi="宋体" w:eastAsia="宋体" w:cs="宋体"/>
          <w:b/>
          <w:bCs/>
          <w:sz w:val="28"/>
          <w:szCs w:val="28"/>
          <w:lang w:val="en-US" w:eastAsia="zh-CN"/>
        </w:rPr>
      </w:pPr>
    </w:p>
    <w:p>
      <w:pPr>
        <w:pStyle w:val="14"/>
        <w:ind w:firstLine="0" w:firstLineChars="0"/>
        <w:jc w:val="center"/>
        <w:outlineLvl w:val="0"/>
        <w:rPr>
          <w:rFonts w:hint="eastAsia" w:ascii="宋体" w:hAnsi="宋体" w:eastAsia="宋体" w:cs="宋体"/>
          <w:b/>
          <w:bCs/>
          <w:sz w:val="28"/>
          <w:szCs w:val="28"/>
          <w:lang w:val="en-US" w:eastAsia="zh-CN"/>
        </w:rPr>
      </w:pPr>
    </w:p>
    <w:p>
      <w:pPr>
        <w:pStyle w:val="14"/>
        <w:ind w:firstLine="0" w:firstLineChars="0"/>
        <w:jc w:val="center"/>
        <w:outlineLvl w:val="0"/>
        <w:rPr>
          <w:rFonts w:hint="eastAsia" w:ascii="宋体" w:hAnsi="宋体" w:eastAsia="宋体" w:cs="宋体"/>
          <w:b/>
          <w:bCs/>
          <w:sz w:val="28"/>
          <w:szCs w:val="28"/>
          <w:lang w:val="en-US" w:eastAsia="zh-CN"/>
        </w:rPr>
      </w:pPr>
    </w:p>
    <w:p>
      <w:pPr>
        <w:pStyle w:val="14"/>
        <w:ind w:firstLine="0" w:firstLineChars="0"/>
        <w:jc w:val="center"/>
        <w:outlineLvl w:val="0"/>
        <w:rPr>
          <w:rFonts w:hint="eastAsia" w:ascii="宋体" w:hAnsi="宋体" w:eastAsia="宋体" w:cs="宋体"/>
          <w:b/>
          <w:bCs/>
          <w:sz w:val="28"/>
          <w:szCs w:val="28"/>
          <w:lang w:val="en-US" w:eastAsia="zh-CN"/>
        </w:rPr>
      </w:pPr>
    </w:p>
    <w:p>
      <w:pPr>
        <w:pStyle w:val="14"/>
        <w:ind w:firstLine="0" w:firstLineChars="0"/>
        <w:jc w:val="center"/>
        <w:outlineLvl w:val="0"/>
        <w:rPr>
          <w:rFonts w:hint="eastAsia" w:ascii="宋体" w:hAnsi="宋体" w:eastAsia="宋体" w:cs="宋体"/>
          <w:b/>
          <w:bCs/>
          <w:sz w:val="28"/>
          <w:szCs w:val="28"/>
          <w:lang w:val="en-US" w:eastAsia="zh-CN"/>
        </w:rPr>
      </w:pPr>
    </w:p>
    <w:p>
      <w:pPr>
        <w:pStyle w:val="14"/>
        <w:ind w:firstLine="0" w:firstLineChars="0"/>
        <w:jc w:val="center"/>
        <w:outlineLvl w:val="0"/>
        <w:rPr>
          <w:rFonts w:hint="eastAsia" w:ascii="宋体" w:hAnsi="宋体" w:eastAsia="宋体" w:cs="宋体"/>
          <w:b/>
          <w:bCs/>
          <w:sz w:val="28"/>
          <w:szCs w:val="28"/>
          <w:lang w:val="en-US" w:eastAsia="zh-CN"/>
        </w:rPr>
      </w:pPr>
    </w:p>
    <w:p>
      <w:pPr>
        <w:pStyle w:val="14"/>
        <w:ind w:firstLine="0" w:firstLineChars="0"/>
        <w:jc w:val="center"/>
        <w:outlineLvl w:val="0"/>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lang w:val="en-US" w:eastAsia="zh-CN"/>
        </w:rPr>
      </w:pPr>
    </w:p>
    <w:p>
      <w:pPr>
        <w:pStyle w:val="14"/>
        <w:ind w:firstLine="0" w:firstLineChars="0"/>
        <w:jc w:val="both"/>
        <w:outlineLvl w:val="0"/>
        <w:rPr>
          <w:rFonts w:hint="eastAsia" w:ascii="宋体" w:hAnsi="宋体" w:eastAsia="宋体" w:cs="宋体"/>
          <w:b/>
          <w:bCs/>
          <w:sz w:val="28"/>
          <w:szCs w:val="28"/>
          <w:lang w:val="en-US" w:eastAsia="zh-CN"/>
        </w:rPr>
      </w:pPr>
    </w:p>
    <w:p>
      <w:pPr>
        <w:pStyle w:val="14"/>
        <w:ind w:firstLine="0" w:firstLineChars="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三、比选响应文件格式</w:t>
      </w:r>
    </w:p>
    <w:p>
      <w:pPr>
        <w:pStyle w:val="17"/>
        <w:widowControl/>
        <w:spacing w:beforeAutospacing="0" w:afterAutospacing="0" w:line="280" w:lineRule="atLeast"/>
        <w:jc w:val="right"/>
        <w:rPr>
          <w:rFonts w:hint="eastAsia" w:ascii="宋体" w:hAnsi="宋体" w:eastAsia="宋体" w:cs="宋体"/>
          <w:sz w:val="36"/>
          <w:szCs w:val="36"/>
        </w:rPr>
      </w:pPr>
    </w:p>
    <w:p>
      <w:pPr>
        <w:pStyle w:val="17"/>
        <w:widowControl/>
        <w:spacing w:beforeAutospacing="0" w:afterAutospacing="0" w:line="280" w:lineRule="atLeast"/>
        <w:jc w:val="right"/>
        <w:rPr>
          <w:rFonts w:hint="eastAsia" w:ascii="宋体" w:hAnsi="宋体" w:eastAsia="宋体" w:cs="宋体"/>
          <w:sz w:val="36"/>
          <w:szCs w:val="36"/>
        </w:rPr>
      </w:pPr>
    </w:p>
    <w:p>
      <w:pPr>
        <w:widowControl/>
        <w:jc w:val="left"/>
      </w:pPr>
    </w:p>
    <w:p>
      <w:pPr>
        <w:ind w:firstLine="400" w:firstLineChars="100"/>
        <w:jc w:val="center"/>
        <w:rPr>
          <w:rFonts w:hint="eastAsia" w:ascii="宋体" w:hAnsi="宋体" w:eastAsia="宋体" w:cs="宋体"/>
          <w:bCs/>
          <w:sz w:val="44"/>
          <w:szCs w:val="44"/>
        </w:rPr>
      </w:pPr>
      <w:r>
        <w:rPr>
          <w:rFonts w:hint="eastAsia" w:ascii="宋体" w:hAnsi="宋体" w:eastAsia="宋体" w:cs="宋体"/>
          <w:sz w:val="40"/>
          <w:szCs w:val="40"/>
          <w:u w:val="single"/>
        </w:rPr>
        <w:t>安徽省农垦集团有限公司内控监督评价项目</w:t>
      </w:r>
    </w:p>
    <w:p>
      <w:pPr>
        <w:jc w:val="center"/>
        <w:rPr>
          <w:rFonts w:hint="eastAsia" w:ascii="楷体" w:hAnsi="楷体" w:eastAsia="楷体" w:cs="楷体"/>
          <w:b/>
          <w:bCs/>
          <w:sz w:val="52"/>
          <w:szCs w:val="52"/>
        </w:rPr>
      </w:pPr>
      <w:r>
        <w:rPr>
          <w:rFonts w:hint="eastAsia" w:ascii="宋体" w:hAnsi="宋体" w:eastAsia="宋体" w:cs="宋体"/>
          <w:b/>
          <w:bCs/>
          <w:sz w:val="52"/>
          <w:szCs w:val="52"/>
        </w:rPr>
        <w:t>比 选 响 应 文 件</w:t>
      </w:r>
    </w:p>
    <w:p>
      <w:pPr>
        <w:pStyle w:val="24"/>
      </w:pPr>
    </w:p>
    <w:p>
      <w:pPr>
        <w:pStyle w:val="14"/>
        <w:ind w:firstLine="640"/>
      </w:pPr>
    </w:p>
    <w:p>
      <w:pPr>
        <w:pStyle w:val="14"/>
        <w:ind w:firstLine="640"/>
      </w:pPr>
    </w:p>
    <w:p>
      <w:pPr>
        <w:pStyle w:val="14"/>
        <w:ind w:firstLine="0" w:firstLineChars="0"/>
      </w:pPr>
    </w:p>
    <w:p>
      <w:pPr>
        <w:pStyle w:val="14"/>
        <w:ind w:firstLine="640"/>
      </w:pPr>
    </w:p>
    <w:p>
      <w:pPr>
        <w:pStyle w:val="14"/>
        <w:ind w:firstLine="640"/>
      </w:pPr>
    </w:p>
    <w:p>
      <w:pPr>
        <w:pStyle w:val="14"/>
        <w:ind w:firstLine="640"/>
      </w:pPr>
    </w:p>
    <w:p>
      <w:pPr>
        <w:spacing w:line="800" w:lineRule="exact"/>
        <w:ind w:firstLine="420" w:firstLineChars="150"/>
        <w:rPr>
          <w:rFonts w:hint="eastAsia" w:ascii="宋体" w:hAnsi="宋体" w:eastAsia="宋体" w:cs="宋体"/>
          <w:sz w:val="28"/>
          <w:szCs w:val="28"/>
        </w:rPr>
      </w:pPr>
      <w:r>
        <w:rPr>
          <w:rFonts w:hint="eastAsia" w:ascii="宋体" w:hAnsi="宋体" w:eastAsia="宋体" w:cs="宋体"/>
          <w:sz w:val="28"/>
          <w:szCs w:val="28"/>
          <w:lang w:eastAsia="zh-CN"/>
        </w:rPr>
        <w:t>比选响应人</w: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（盖</w:t>
      </w:r>
      <w:r>
        <w:rPr>
          <w:rFonts w:hint="eastAsia" w:ascii="宋体" w:hAnsi="宋体" w:eastAsia="宋体" w:cs="宋体"/>
          <w:sz w:val="28"/>
          <w:szCs w:val="28"/>
          <w:u w:val="single"/>
          <w:lang w:val="en-US" w:eastAsia="zh-CN"/>
        </w:rPr>
        <w:t>公</w:t>
      </w:r>
      <w:r>
        <w:rPr>
          <w:rFonts w:hint="eastAsia" w:ascii="宋体" w:hAnsi="宋体" w:eastAsia="宋体" w:cs="宋体"/>
          <w:sz w:val="28"/>
          <w:szCs w:val="28"/>
          <w:u w:val="single"/>
        </w:rPr>
        <w:t>章）</w:t>
      </w:r>
      <w:r>
        <w:rPr>
          <w:rFonts w:hint="eastAsia" w:ascii="宋体" w:hAnsi="宋体" w:eastAsia="宋体" w:cs="宋体"/>
          <w:sz w:val="28"/>
          <w:szCs w:val="28"/>
        </w:rPr>
        <w:t xml:space="preserve">    </w:t>
      </w:r>
    </w:p>
    <w:p>
      <w:pPr>
        <w:spacing w:line="800" w:lineRule="exact"/>
        <w:ind w:left="420" w:leftChars="200"/>
        <w:rPr>
          <w:rFonts w:hint="eastAsia" w:ascii="宋体" w:hAnsi="宋体" w:eastAsia="宋体" w:cs="宋体"/>
          <w:sz w:val="28"/>
          <w:szCs w:val="28"/>
          <w:u w:val="single"/>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（签字或盖章）</w:t>
      </w:r>
    </w:p>
    <w:p>
      <w:pPr>
        <w:tabs>
          <w:tab w:val="left" w:pos="1440"/>
          <w:tab w:val="left" w:pos="8280"/>
        </w:tabs>
        <w:spacing w:line="800" w:lineRule="exact"/>
        <w:ind w:left="420" w:leftChars="200"/>
        <w:rPr>
          <w:rFonts w:hint="eastAsia" w:ascii="宋体" w:hAnsi="宋体" w:eastAsia="宋体" w:cs="宋体"/>
          <w:b/>
          <w:bCs/>
          <w:sz w:val="28"/>
          <w:szCs w:val="28"/>
        </w:rPr>
      </w:pPr>
      <w:r>
        <w:rPr>
          <w:rFonts w:hint="eastAsia" w:ascii="宋体" w:hAnsi="宋体" w:eastAsia="宋体" w:cs="宋体"/>
          <w:sz w:val="28"/>
          <w:szCs w:val="28"/>
        </w:rPr>
        <w:t xml:space="preserve">日    期：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年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月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jc w:val="both"/>
        <w:rPr>
          <w:rFonts w:hint="eastAsia"/>
          <w:sz w:val="32"/>
          <w:szCs w:val="32"/>
        </w:rPr>
      </w:pPr>
    </w:p>
    <w:p>
      <w:pPr>
        <w:pStyle w:val="24"/>
        <w:rPr>
          <w:rFonts w:hint="eastAsia" w:ascii="仿宋" w:hAnsi="仿宋" w:eastAsia="仿宋" w:cs="仿宋"/>
          <w:b/>
          <w:bCs/>
          <w:color w:val="333333"/>
          <w:sz w:val="28"/>
          <w:szCs w:val="28"/>
          <w:highlight w:val="none"/>
          <w:lang w:val="en-US" w:eastAsia="zh-CN"/>
        </w:rPr>
      </w:pPr>
    </w:p>
    <w:p>
      <w:pPr>
        <w:jc w:val="center"/>
        <w:rPr>
          <w:rFonts w:hint="eastAsia" w:asciiTheme="minorEastAsia" w:hAnsiTheme="minorEastAsia" w:eastAsiaTheme="minorEastAsia" w:cstheme="minorEastAsia"/>
          <w:sz w:val="36"/>
          <w:szCs w:val="36"/>
          <w:lang w:val="en-US" w:eastAsia="zh-CN"/>
        </w:rPr>
      </w:pPr>
    </w:p>
    <w:p>
      <w:p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目   录</w:t>
      </w:r>
    </w:p>
    <w:p>
      <w:pPr>
        <w:numPr>
          <w:ilvl w:val="0"/>
          <w:numId w:val="0"/>
        </w:numPr>
        <w:spacing w:line="360" w:lineRule="auto"/>
        <w:rPr>
          <w:rFonts w:hint="eastAsia" w:ascii="宋体" w:hAnsi="宋体" w:eastAsia="宋体" w:cs="宋体"/>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ind w:right="0" w:rightChars="0" w:firstLine="840" w:firstLineChars="3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1.授权委托书</w:t>
      </w:r>
    </w:p>
    <w:p>
      <w:pPr>
        <w:pStyle w:val="2"/>
        <w:pageBreakBefore w:val="0"/>
        <w:widowControl w:val="0"/>
        <w:kinsoku/>
        <w:wordWrap/>
        <w:overflowPunct/>
        <w:topLinePunct w:val="0"/>
        <w:autoSpaceDE/>
        <w:autoSpaceDN/>
        <w:bidi w:val="0"/>
        <w:adjustRightInd/>
        <w:snapToGrid/>
        <w:spacing w:before="0" w:after="0" w:line="360" w:lineRule="auto"/>
        <w:ind w:right="0" w:rightChars="0" w:firstLine="840" w:firstLineChars="3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napToGrid/>
          <w:color w:val="auto"/>
          <w:kern w:val="2"/>
          <w:sz w:val="28"/>
          <w:szCs w:val="28"/>
          <w:highlight w:val="none"/>
          <w:lang w:val="en-US" w:eastAsia="zh-CN" w:bidi="ar-SA"/>
        </w:rPr>
        <w:t>无重大违法记录声明函、无不良信用记录声明函</w:t>
      </w:r>
    </w:p>
    <w:p>
      <w:pPr>
        <w:pageBreakBefore w:val="0"/>
        <w:widowControl w:val="0"/>
        <w:numPr>
          <w:ilvl w:val="0"/>
          <w:numId w:val="0"/>
        </w:numPr>
        <w:kinsoku/>
        <w:wordWrap/>
        <w:overflowPunct/>
        <w:topLinePunct w:val="0"/>
        <w:autoSpaceDE/>
        <w:autoSpaceDN/>
        <w:bidi w:val="0"/>
        <w:adjustRightInd/>
        <w:snapToGrid/>
        <w:spacing w:line="360" w:lineRule="auto"/>
        <w:ind w:right="0" w:rightChars="0" w:firstLine="840" w:firstLineChars="3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3.配备人员</w:t>
      </w:r>
    </w:p>
    <w:p>
      <w:pPr>
        <w:pageBreakBefore w:val="0"/>
        <w:widowControl w:val="0"/>
        <w:numPr>
          <w:ilvl w:val="0"/>
          <w:numId w:val="0"/>
        </w:numPr>
        <w:kinsoku/>
        <w:wordWrap/>
        <w:overflowPunct/>
        <w:topLinePunct w:val="0"/>
        <w:autoSpaceDE/>
        <w:autoSpaceDN/>
        <w:bidi w:val="0"/>
        <w:adjustRightInd/>
        <w:snapToGrid/>
        <w:spacing w:line="360" w:lineRule="auto"/>
        <w:ind w:left="840" w:leftChars="0" w:right="0" w:right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bidi="ar"/>
        </w:rPr>
        <w:t>比选响应函</w:t>
      </w:r>
    </w:p>
    <w:p>
      <w:pPr>
        <w:pageBreakBefore w:val="0"/>
        <w:widowControl w:val="0"/>
        <w:numPr>
          <w:ilvl w:val="0"/>
          <w:numId w:val="0"/>
        </w:numPr>
        <w:kinsoku/>
        <w:wordWrap/>
        <w:overflowPunct/>
        <w:topLinePunct w:val="0"/>
        <w:autoSpaceDE/>
        <w:autoSpaceDN/>
        <w:bidi w:val="0"/>
        <w:adjustRightInd/>
        <w:snapToGrid/>
        <w:spacing w:line="360" w:lineRule="auto"/>
        <w:ind w:left="840" w:leftChars="0" w:right="0" w:right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bidi="ar"/>
        </w:rPr>
        <w:t>报价表</w:t>
      </w:r>
    </w:p>
    <w:p>
      <w:pPr>
        <w:pageBreakBefore w:val="0"/>
        <w:widowControl w:val="0"/>
        <w:numPr>
          <w:ilvl w:val="0"/>
          <w:numId w:val="0"/>
        </w:numPr>
        <w:kinsoku/>
        <w:wordWrap/>
        <w:overflowPunct/>
        <w:topLinePunct w:val="0"/>
        <w:autoSpaceDE/>
        <w:autoSpaceDN/>
        <w:bidi w:val="0"/>
        <w:adjustRightInd/>
        <w:snapToGrid/>
        <w:spacing w:line="360" w:lineRule="auto"/>
        <w:ind w:left="840" w:leftChars="0" w:right="0" w:right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.服务方案</w:t>
      </w:r>
    </w:p>
    <w:p>
      <w:pPr>
        <w:pageBreakBefore w:val="0"/>
        <w:widowControl w:val="0"/>
        <w:numPr>
          <w:ilvl w:val="0"/>
          <w:numId w:val="0"/>
        </w:numPr>
        <w:kinsoku/>
        <w:wordWrap/>
        <w:overflowPunct/>
        <w:topLinePunct w:val="0"/>
        <w:autoSpaceDE/>
        <w:autoSpaceDN/>
        <w:bidi w:val="0"/>
        <w:adjustRightInd/>
        <w:snapToGrid/>
        <w:spacing w:line="360" w:lineRule="auto"/>
        <w:ind w:left="840" w:leftChars="0" w:right="0" w:right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lang w:val="en-US" w:eastAsia="zh-CN"/>
        </w:rPr>
        <w:t>.其他资料</w:t>
      </w:r>
    </w:p>
    <w:p>
      <w:pPr>
        <w:numPr>
          <w:ilvl w:val="0"/>
          <w:numId w:val="0"/>
        </w:numPr>
        <w:spacing w:line="360" w:lineRule="auto"/>
        <w:ind w:left="840" w:leftChars="0"/>
        <w:rPr>
          <w:rFonts w:hint="eastAsia" w:ascii="宋体" w:hAnsi="宋体" w:eastAsia="宋体" w:cs="宋体"/>
          <w:sz w:val="28"/>
          <w:szCs w:val="28"/>
          <w:lang w:val="en-US" w:eastAsia="zh-CN"/>
        </w:rPr>
      </w:pPr>
    </w:p>
    <w:p>
      <w:pPr>
        <w:jc w:val="center"/>
        <w:rPr>
          <w:rFonts w:hint="eastAsia" w:asciiTheme="minorEastAsia" w:hAnsiTheme="minorEastAsia" w:eastAsiaTheme="minorEastAsia" w:cstheme="minorEastAsia"/>
          <w:sz w:val="36"/>
          <w:szCs w:val="36"/>
          <w:lang w:val="en-US" w:eastAsia="zh-CN"/>
        </w:rPr>
      </w:pPr>
    </w:p>
    <w:p>
      <w:pPr>
        <w:jc w:val="center"/>
        <w:rPr>
          <w:rFonts w:hint="eastAsia" w:asciiTheme="minorEastAsia" w:hAnsiTheme="minorEastAsia" w:eastAsiaTheme="minorEastAsia" w:cstheme="minorEastAsia"/>
          <w:sz w:val="36"/>
          <w:szCs w:val="36"/>
          <w:lang w:val="en-US" w:eastAsia="zh-CN"/>
        </w:rPr>
      </w:pPr>
    </w:p>
    <w:p>
      <w:pPr>
        <w:rPr>
          <w:rFonts w:hint="eastAsia" w:ascii="仿宋" w:hAnsi="仿宋" w:eastAsia="仿宋" w:cs="仿宋"/>
          <w:b/>
          <w:bCs/>
          <w:color w:val="333333"/>
          <w:sz w:val="28"/>
          <w:szCs w:val="28"/>
          <w:highlight w:val="none"/>
          <w:lang w:val="en-US" w:eastAsia="zh-CN"/>
        </w:rPr>
      </w:pPr>
    </w:p>
    <w:p>
      <w:pPr>
        <w:rPr>
          <w:rFonts w:hint="eastAsia" w:ascii="仿宋" w:hAnsi="仿宋" w:eastAsia="仿宋" w:cs="仿宋"/>
          <w:b/>
          <w:bCs/>
          <w:color w:val="333333"/>
          <w:sz w:val="28"/>
          <w:szCs w:val="28"/>
          <w:highlight w:val="none"/>
          <w:lang w:val="en-US" w:eastAsia="zh-CN"/>
        </w:rPr>
      </w:pPr>
    </w:p>
    <w:p>
      <w:pPr>
        <w:rPr>
          <w:rFonts w:hint="eastAsia" w:ascii="仿宋" w:hAnsi="仿宋" w:eastAsia="仿宋" w:cs="仿宋"/>
          <w:b/>
          <w:bCs/>
          <w:color w:val="333333"/>
          <w:sz w:val="28"/>
          <w:szCs w:val="28"/>
          <w:highlight w:val="none"/>
          <w:lang w:val="en-US" w:eastAsia="zh-CN"/>
        </w:rPr>
      </w:pPr>
    </w:p>
    <w:p>
      <w:pPr>
        <w:rPr>
          <w:rFonts w:hint="eastAsia" w:ascii="仿宋" w:hAnsi="仿宋" w:eastAsia="仿宋" w:cs="仿宋"/>
          <w:b/>
          <w:bCs/>
          <w:color w:val="333333"/>
          <w:sz w:val="28"/>
          <w:szCs w:val="28"/>
          <w:highlight w:val="none"/>
          <w:lang w:val="en-US" w:eastAsia="zh-CN"/>
        </w:rPr>
      </w:pPr>
    </w:p>
    <w:p>
      <w:pPr>
        <w:rPr>
          <w:rFonts w:hint="eastAsia" w:ascii="仿宋" w:hAnsi="仿宋" w:eastAsia="仿宋" w:cs="仿宋"/>
          <w:b/>
          <w:bCs/>
          <w:color w:val="333333"/>
          <w:sz w:val="28"/>
          <w:szCs w:val="28"/>
          <w:highlight w:val="none"/>
          <w:lang w:val="en-US" w:eastAsia="zh-CN"/>
        </w:rPr>
      </w:pPr>
    </w:p>
    <w:p>
      <w:pPr>
        <w:pStyle w:val="24"/>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center"/>
        <w:textAlignment w:val="baseline"/>
        <w:outlineLvl w:val="1"/>
        <w:rPr>
          <w:rFonts w:hint="eastAsia" w:ascii="宋体" w:hAnsi="宋体" w:eastAsia="宋体" w:cs="宋体"/>
          <w:b/>
          <w:bCs/>
          <w:sz w:val="32"/>
          <w:szCs w:val="32"/>
          <w:lang w:val="en-US" w:eastAsia="zh-CN" w:bidi="ar"/>
        </w:rPr>
      </w:pPr>
    </w:p>
    <w:p>
      <w:pPr>
        <w:pStyle w:val="2"/>
        <w:rPr>
          <w:rFonts w:hint="eastAsia"/>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center"/>
        <w:textAlignment w:val="baseline"/>
        <w:outlineLvl w:val="1"/>
        <w:rPr>
          <w:rFonts w:hint="eastAsia" w:ascii="宋体" w:hAnsi="宋体" w:eastAsia="宋体" w:cs="宋体"/>
          <w:b/>
          <w:bCs/>
          <w:sz w:val="32"/>
          <w:szCs w:val="32"/>
          <w:lang w:val="en-US" w:eastAsia="zh-CN" w:bidi="ar"/>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center"/>
        <w:textAlignment w:val="baseline"/>
        <w:outlineLvl w:val="1"/>
        <w:rPr>
          <w:rFonts w:hint="eastAsia" w:ascii="宋体" w:hAnsi="宋体" w:eastAsia="宋体" w:cs="宋体"/>
          <w:b/>
          <w:bCs/>
          <w:sz w:val="32"/>
          <w:szCs w:val="32"/>
          <w:lang w:val="en-US" w:eastAsia="zh-CN" w:bidi="ar"/>
        </w:rPr>
      </w:pPr>
      <w:r>
        <w:rPr>
          <w:rFonts w:hint="eastAsia" w:ascii="宋体" w:hAnsi="宋体" w:eastAsia="宋体" w:cs="宋体"/>
          <w:b/>
          <w:bCs/>
          <w:sz w:val="32"/>
          <w:szCs w:val="32"/>
          <w:lang w:val="en-US" w:eastAsia="zh-CN" w:bidi="ar"/>
        </w:rPr>
        <w:t>1.授权委托书</w:t>
      </w:r>
    </w:p>
    <w:p>
      <w:pPr>
        <w:pStyle w:val="14"/>
        <w:numPr>
          <w:ilvl w:val="0"/>
          <w:numId w:val="0"/>
        </w:numPr>
        <w:rPr>
          <w:rFonts w:hint="eastAsia"/>
          <w:lang w:val="en-US" w:eastAsia="zh-CN"/>
        </w:rPr>
      </w:pPr>
    </w:p>
    <w:p>
      <w:pPr>
        <w:widowControl w:val="0"/>
        <w:kinsoku/>
        <w:autoSpaceDE/>
        <w:autoSpaceDN/>
        <w:adjustRightIn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（供应商名称）的法定代表人，现委托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（姓名）为我方代理人。代理人根据授权，以我方名义签署、澄清、说明、补正、递交、撤回、修改</w:t>
      </w:r>
      <w:r>
        <w:rPr>
          <w:rFonts w:hint="eastAsia" w:ascii="宋体" w:hAnsi="宋体" w:eastAsia="宋体" w:cs="宋体"/>
          <w:color w:val="auto"/>
          <w:sz w:val="24"/>
          <w:szCs w:val="24"/>
          <w:u w:val="single"/>
        </w:rPr>
        <w:t>安徽省农垦集团有限公司内控监督评价项目</w:t>
      </w:r>
      <w:r>
        <w:rPr>
          <w:rFonts w:hint="eastAsia" w:ascii="宋体" w:hAnsi="宋体" w:eastAsia="宋体" w:cs="宋体"/>
          <w:color w:val="auto"/>
          <w:sz w:val="24"/>
          <w:szCs w:val="24"/>
        </w:rPr>
        <w:t>响应文件、签订合同和处理有关事宜，其法律后果由我方承担。</w:t>
      </w:r>
    </w:p>
    <w:p>
      <w:pPr>
        <w:widowControl w:val="0"/>
        <w:kinsoku/>
        <w:autoSpaceDE/>
        <w:autoSpaceDN/>
        <w:adjustRightIn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自本委托书签署之日起至响应有效期期满</w:t>
      </w:r>
      <w:r>
        <w:rPr>
          <w:rFonts w:hint="eastAsia" w:ascii="宋体" w:hAnsi="宋体" w:eastAsia="宋体" w:cs="宋体"/>
          <w:color w:val="auto"/>
          <w:sz w:val="24"/>
          <w:szCs w:val="24"/>
        </w:rPr>
        <w:t>。</w:t>
      </w:r>
    </w:p>
    <w:p>
      <w:pPr>
        <w:widowControl w:val="0"/>
        <w:kinsoku/>
        <w:autoSpaceDE/>
        <w:autoSpaceDN/>
        <w:adjustRightInd/>
        <w:spacing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pPr>
        <w:widowControl w:val="0"/>
        <w:kinsoku/>
        <w:spacing w:line="48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附：代理人身份证正反面扫描件或复印件</w:t>
      </w:r>
    </w:p>
    <w:p>
      <w:pPr>
        <w:widowControl w:val="0"/>
        <w:kinsoku/>
        <w:autoSpaceDE/>
        <w:autoSpaceDN/>
        <w:adjustRightInd/>
        <w:spacing w:line="480" w:lineRule="auto"/>
        <w:textAlignment w:val="auto"/>
        <w:rPr>
          <w:rFonts w:hint="eastAsia" w:ascii="宋体" w:hAnsi="宋体" w:eastAsia="宋体" w:cs="宋体"/>
          <w:color w:val="auto"/>
          <w:sz w:val="24"/>
          <w:szCs w:val="24"/>
        </w:rPr>
      </w:pPr>
    </w:p>
    <w:p>
      <w:pPr>
        <w:widowControl w:val="0"/>
        <w:kinsoku/>
        <w:autoSpaceDE/>
        <w:autoSpaceDN/>
        <w:adjustRightInd/>
        <w:spacing w:line="480" w:lineRule="auto"/>
        <w:ind w:firstLine="1200" w:firstLineChars="500"/>
        <w:textAlignment w:val="auto"/>
        <w:rPr>
          <w:rFonts w:hint="eastAsia" w:ascii="宋体" w:hAnsi="宋体" w:eastAsia="宋体" w:cs="宋体"/>
          <w:color w:val="auto"/>
          <w:sz w:val="24"/>
          <w:szCs w:val="24"/>
        </w:rPr>
      </w:pPr>
    </w:p>
    <w:p>
      <w:pPr>
        <w:pStyle w:val="2"/>
        <w:rPr>
          <w:rFonts w:hint="eastAsia"/>
        </w:rPr>
      </w:pPr>
    </w:p>
    <w:p>
      <w:pPr>
        <w:widowControl w:val="0"/>
        <w:kinsoku/>
        <w:autoSpaceDE/>
        <w:autoSpaceDN/>
        <w:adjustRightInd/>
        <w:spacing w:line="480" w:lineRule="auto"/>
        <w:ind w:firstLine="1200" w:firstLineChars="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widowControl w:val="0"/>
        <w:kinsoku/>
        <w:autoSpaceDE/>
        <w:autoSpaceDN/>
        <w:adjustRightInd/>
        <w:spacing w:line="480" w:lineRule="auto"/>
        <w:ind w:firstLine="1200" w:firstLineChars="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widowControl w:val="0"/>
        <w:kinsoku/>
        <w:autoSpaceDE/>
        <w:autoSpaceDN/>
        <w:adjustRightInd/>
        <w:spacing w:line="480" w:lineRule="auto"/>
        <w:ind w:firstLine="1200" w:firstLineChars="5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代理人手机号码：</w:t>
      </w:r>
      <w:r>
        <w:rPr>
          <w:rFonts w:hint="eastAsia" w:ascii="宋体" w:hAnsi="宋体" w:eastAsia="宋体" w:cs="宋体"/>
          <w:color w:val="auto"/>
          <w:sz w:val="24"/>
          <w:szCs w:val="24"/>
          <w:u w:val="single"/>
        </w:rPr>
        <w:t xml:space="preserve">                                </w:t>
      </w:r>
    </w:p>
    <w:p>
      <w:pPr>
        <w:widowControl w:val="0"/>
        <w:kinsoku/>
        <w:autoSpaceDE/>
        <w:autoSpaceDN/>
        <w:adjustRightInd/>
        <w:spacing w:line="480" w:lineRule="auto"/>
        <w:ind w:firstLine="1200" w:firstLineChars="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widowControl w:val="0"/>
        <w:kinsoku/>
        <w:autoSpaceDE/>
        <w:autoSpaceDN/>
        <w:adjustRightInd/>
        <w:spacing w:line="480" w:lineRule="auto"/>
        <w:ind w:firstLine="1200" w:firstLineChars="500"/>
        <w:textAlignment w:val="auto"/>
        <w:rPr>
          <w:rFonts w:hint="eastAsia" w:ascii="宋体" w:hAnsi="宋体" w:eastAsia="宋体" w:cs="宋体"/>
          <w:color w:val="auto"/>
          <w:sz w:val="24"/>
          <w:szCs w:val="24"/>
        </w:rPr>
      </w:pPr>
    </w:p>
    <w:p>
      <w:pPr>
        <w:widowControl w:val="0"/>
        <w:kinsoku/>
        <w:autoSpaceDE/>
        <w:autoSpaceDN/>
        <w:adjustRightInd/>
        <w:spacing w:line="480" w:lineRule="auto"/>
        <w:textAlignment w:val="auto"/>
        <w:rPr>
          <w:rFonts w:hint="eastAsia" w:ascii="宋体" w:hAnsi="宋体" w:eastAsia="宋体" w:cs="宋体"/>
          <w:b/>
          <w:bCs/>
          <w:snapToGrid/>
          <w:color w:val="auto"/>
          <w:kern w:val="2"/>
          <w:szCs w:val="24"/>
          <w:highlight w:val="none"/>
          <w:lang w:val="en-US" w:eastAsia="zh-CN" w:bidi="ar-SA"/>
        </w:rPr>
      </w:pPr>
      <w:r>
        <w:rPr>
          <w:rFonts w:hint="eastAsia" w:ascii="宋体" w:hAnsi="宋体" w:eastAsia="宋体" w:cs="宋体"/>
          <w:b/>
          <w:bCs/>
          <w:color w:val="auto"/>
          <w:sz w:val="24"/>
          <w:szCs w:val="24"/>
        </w:rPr>
        <w:t>注：法定代表人参加</w:t>
      </w:r>
      <w:r>
        <w:rPr>
          <w:rFonts w:hint="eastAsia" w:ascii="宋体" w:hAnsi="宋体" w:eastAsia="宋体" w:cs="宋体"/>
          <w:b/>
          <w:bCs/>
          <w:color w:val="auto"/>
          <w:sz w:val="24"/>
          <w:szCs w:val="24"/>
          <w:lang w:val="en-US" w:eastAsia="zh-CN"/>
        </w:rPr>
        <w:t>比选</w:t>
      </w:r>
      <w:r>
        <w:rPr>
          <w:rFonts w:hint="eastAsia" w:ascii="宋体" w:hAnsi="宋体" w:eastAsia="宋体" w:cs="宋体"/>
          <w:b/>
          <w:bCs/>
          <w:color w:val="auto"/>
          <w:sz w:val="24"/>
          <w:szCs w:val="24"/>
        </w:rPr>
        <w:t>活动不需要授权委托书，只需提供法定代表人身份证扫描件或复印件。</w:t>
      </w:r>
      <w:bookmarkStart w:id="3" w:name="_Toc9051"/>
    </w:p>
    <w:p>
      <w:pPr>
        <w:pStyle w:val="2"/>
        <w:widowControl w:val="0"/>
        <w:kinsoku/>
        <w:autoSpaceDE/>
        <w:autoSpaceDN/>
        <w:adjustRightInd/>
        <w:snapToGrid/>
        <w:jc w:val="center"/>
        <w:textAlignment w:val="auto"/>
        <w:rPr>
          <w:rFonts w:hint="eastAsia" w:ascii="宋体" w:hAnsi="宋体" w:eastAsia="宋体" w:cs="宋体"/>
          <w:b/>
          <w:bCs/>
          <w:snapToGrid/>
          <w:color w:val="auto"/>
          <w:kern w:val="2"/>
          <w:szCs w:val="24"/>
          <w:highlight w:val="none"/>
          <w:lang w:val="en-US" w:eastAsia="zh-CN" w:bidi="ar-SA"/>
        </w:rPr>
      </w:pPr>
      <w:r>
        <w:rPr>
          <w:rFonts w:hint="eastAsia" w:ascii="宋体" w:hAnsi="宋体" w:eastAsia="宋体" w:cs="宋体"/>
          <w:b/>
          <w:bCs/>
          <w:snapToGrid/>
          <w:color w:val="auto"/>
          <w:kern w:val="2"/>
          <w:szCs w:val="24"/>
          <w:highlight w:val="none"/>
          <w:lang w:val="en-US" w:eastAsia="zh-CN" w:bidi="ar-SA"/>
        </w:rPr>
        <w:t>2</w:t>
      </w:r>
      <w:bookmarkEnd w:id="3"/>
      <w:r>
        <w:rPr>
          <w:rFonts w:hint="eastAsia" w:ascii="宋体" w:hAnsi="宋体" w:eastAsia="宋体" w:cs="宋体"/>
          <w:b/>
          <w:bCs/>
          <w:snapToGrid/>
          <w:color w:val="auto"/>
          <w:kern w:val="2"/>
          <w:szCs w:val="24"/>
          <w:highlight w:val="none"/>
          <w:lang w:val="en-US" w:eastAsia="zh-CN" w:bidi="ar-SA"/>
        </w:rPr>
        <w:t>.无重大违法记录声明函、无不良信用记录声明函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1、本单位郑重声明，我单位无以下不良信用记录情形：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（1）与采购人存在利害关系且可能影响公正性；</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（2）与本采购项目的其他供应商为同一个单位负责人；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（3）与本采购项目的其他供应商存在控股、管理关系；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（4）被责令停业，暂扣或吊销执照，或吊销资质证书；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（6）供应商或其法定代表人、项目负责人在近三年内（自投标截止之日向前追溯3年，下同）有行贿犯罪行为；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（7）在国家企业信用信息公示系统（http://www.gsxt.gov.cn/）中被列入严重违法失信企业名单；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（8）在“信用中国”网站（http://www.creditchina.gov.cn/）中被列入失信被执行人名单；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（9）在“信用中国”网站（http://www.creditchina.gov.cn/）中被列入重大税收违法失信主体名单；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（10）法律法规规定的其他情形；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（11）供应商须知前附表规定的其他情形。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我单位承诺：合同签订前，若我单位具有不良信用记录情形，贵方可取消我单位中标资格或者不授予合同，所有责任由我单位自行承担。同时，我单位愿意无条件接受监管部门的调查处理。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本单位对上述声明的真实性负责。如有虚假，将依法承担相应责任。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460" w:lineRule="exact"/>
        <w:jc w:val="right"/>
        <w:textAlignment w:val="baseline"/>
        <w:rPr>
          <w:rFonts w:hint="eastAsia" w:ascii="宋体" w:hAnsi="宋体" w:eastAsia="宋体" w:cs="宋体"/>
          <w:color w:val="auto"/>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60" w:lineRule="exact"/>
        <w:jc w:val="right"/>
        <w:textAlignment w:val="baseline"/>
        <w:rPr>
          <w:rFonts w:hint="eastAsia" w:ascii="宋体" w:hAnsi="宋体" w:eastAsia="宋体" w:cs="宋体"/>
          <w:color w:val="auto"/>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60" w:lineRule="exact"/>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Start w:id="4" w:name="_Toc186"/>
      <w:bookmarkStart w:id="5" w:name="_Toc460660260"/>
      <w:bookmarkStart w:id="6" w:name="_Toc460227145"/>
      <w:bookmarkStart w:id="7" w:name="_Toc390411639"/>
      <w:bookmarkStart w:id="8" w:name="_Toc421917020"/>
      <w:bookmarkStart w:id="9" w:name="_Toc535241148"/>
    </w:p>
    <w:p>
      <w:pPr>
        <w:pStyle w:val="2"/>
        <w:rPr>
          <w:rFonts w:hint="eastAsia" w:ascii="宋体" w:hAnsi="宋体" w:eastAsia="宋体" w:cs="宋体"/>
          <w:color w:val="auto"/>
          <w:sz w:val="24"/>
          <w:szCs w:val="24"/>
          <w:highlight w:val="none"/>
        </w:rPr>
      </w:pPr>
    </w:p>
    <w:p>
      <w:pPr>
        <w:keepNext w:val="0"/>
        <w:keepLines w:val="0"/>
        <w:widowControl/>
        <w:kinsoku w:val="0"/>
        <w:autoSpaceDE w:val="0"/>
        <w:autoSpaceDN w:val="0"/>
        <w:adjustRightInd w:val="0"/>
        <w:snapToGrid w:val="0"/>
        <w:spacing w:line="460" w:lineRule="exact"/>
        <w:jc w:val="center"/>
        <w:textAlignment w:val="baseline"/>
        <w:rPr>
          <w:rFonts w:hint="eastAsia" w:ascii="宋体" w:hAnsi="宋体" w:eastAsia="宋体" w:cs="宋体"/>
          <w:b/>
          <w:snapToGrid/>
          <w:color w:val="auto"/>
          <w:kern w:val="2"/>
          <w:szCs w:val="24"/>
          <w:lang w:val="en-US" w:eastAsia="zh-CN"/>
        </w:rPr>
      </w:pPr>
    </w:p>
    <w:p>
      <w:pPr>
        <w:pStyle w:val="2"/>
        <w:widowControl w:val="0"/>
        <w:kinsoku/>
        <w:autoSpaceDE/>
        <w:autoSpaceDN/>
        <w:adjustRightInd/>
        <w:snapToGrid/>
        <w:jc w:val="center"/>
        <w:textAlignment w:val="auto"/>
        <w:rPr>
          <w:rFonts w:hint="eastAsia" w:ascii="宋体" w:hAnsi="宋体" w:eastAsia="宋体" w:cs="宋体"/>
          <w:b/>
          <w:snapToGrid/>
          <w:color w:val="auto"/>
          <w:kern w:val="2"/>
          <w:szCs w:val="24"/>
        </w:rPr>
      </w:pPr>
      <w:r>
        <w:rPr>
          <w:rFonts w:hint="eastAsia" w:ascii="宋体" w:hAnsi="宋体" w:eastAsia="宋体" w:cs="宋体"/>
          <w:b/>
          <w:snapToGrid/>
          <w:color w:val="auto"/>
          <w:kern w:val="2"/>
          <w:szCs w:val="24"/>
          <w:lang w:val="en-US" w:eastAsia="zh-CN"/>
        </w:rPr>
        <w:t>3</w:t>
      </w:r>
      <w:bookmarkEnd w:id="4"/>
      <w:bookmarkEnd w:id="5"/>
      <w:bookmarkEnd w:id="6"/>
      <w:bookmarkEnd w:id="7"/>
      <w:bookmarkEnd w:id="8"/>
      <w:bookmarkEnd w:id="9"/>
      <w:r>
        <w:rPr>
          <w:rFonts w:hint="eastAsia" w:ascii="宋体" w:hAnsi="宋体" w:eastAsia="宋体" w:cs="宋体"/>
          <w:b/>
          <w:snapToGrid/>
          <w:color w:val="auto"/>
          <w:kern w:val="2"/>
          <w:szCs w:val="24"/>
          <w:lang w:val="en-US" w:eastAsia="zh-CN"/>
        </w:rPr>
        <w:t>.</w:t>
      </w:r>
      <w:r>
        <w:rPr>
          <w:rFonts w:hint="eastAsia" w:ascii="宋体" w:hAnsi="宋体" w:eastAsia="宋体" w:cs="宋体"/>
          <w:b/>
          <w:snapToGrid/>
          <w:color w:val="auto"/>
          <w:kern w:val="2"/>
          <w:szCs w:val="24"/>
        </w:rPr>
        <w:t>配备人员</w:t>
      </w:r>
    </w:p>
    <w:p>
      <w:pPr>
        <w:widowControl w:val="0"/>
        <w:kinsoku/>
        <w:autoSpaceDE/>
        <w:autoSpaceDN/>
        <w:spacing w:before="48" w:beforeLines="20" w:after="48" w:afterLines="20" w:line="360" w:lineRule="auto"/>
        <w:ind w:firstLine="480" w:firstLineChars="200"/>
        <w:jc w:val="both"/>
        <w:textAlignment w:val="auto"/>
        <w:rPr>
          <w:rFonts w:hint="eastAsia" w:ascii="宋体" w:hAnsi="宋体" w:eastAsia="宋体" w:cs="宋体"/>
          <w:snapToGrid/>
          <w:color w:val="auto"/>
          <w:kern w:val="2"/>
          <w:sz w:val="24"/>
          <w:szCs w:val="24"/>
        </w:rPr>
      </w:pPr>
    </w:p>
    <w:tbl>
      <w:tblPr>
        <w:tblStyle w:val="22"/>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947"/>
        <w:gridCol w:w="882"/>
        <w:gridCol w:w="1453"/>
        <w:gridCol w:w="1528"/>
        <w:gridCol w:w="192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岗位名称</w:t>
            </w:r>
          </w:p>
        </w:tc>
        <w:tc>
          <w:tcPr>
            <w:tcW w:w="94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姓名</w:t>
            </w:r>
          </w:p>
        </w:tc>
        <w:tc>
          <w:tcPr>
            <w:tcW w:w="882"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专业</w:t>
            </w:r>
          </w:p>
        </w:tc>
        <w:tc>
          <w:tcPr>
            <w:tcW w:w="1453"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职称</w:t>
            </w:r>
          </w:p>
        </w:tc>
        <w:tc>
          <w:tcPr>
            <w:tcW w:w="1528"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手机号码</w:t>
            </w:r>
          </w:p>
        </w:tc>
        <w:tc>
          <w:tcPr>
            <w:tcW w:w="1921"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身份证号码</w:t>
            </w:r>
          </w:p>
        </w:tc>
        <w:tc>
          <w:tcPr>
            <w:tcW w:w="1285"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累计财务审计执业时间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项目负责人</w:t>
            </w:r>
          </w:p>
        </w:tc>
        <w:tc>
          <w:tcPr>
            <w:tcW w:w="94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default" w:ascii="宋体" w:hAnsi="宋体" w:eastAsia="宋体" w:cs="宋体"/>
                <w:snapToGrid/>
                <w:color w:val="auto"/>
                <w:kern w:val="2"/>
                <w:sz w:val="24"/>
                <w:szCs w:val="24"/>
                <w:highlight w:val="none"/>
                <w:lang w:val="en-US" w:eastAsia="zh-CN"/>
              </w:rPr>
            </w:pPr>
          </w:p>
        </w:tc>
        <w:tc>
          <w:tcPr>
            <w:tcW w:w="882"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default" w:ascii="宋体" w:hAnsi="宋体" w:eastAsia="宋体" w:cs="宋体"/>
                <w:snapToGrid/>
                <w:color w:val="auto"/>
                <w:kern w:val="2"/>
                <w:sz w:val="24"/>
                <w:szCs w:val="24"/>
                <w:highlight w:val="none"/>
                <w:lang w:val="en-US" w:eastAsia="zh-CN"/>
              </w:rPr>
            </w:pPr>
          </w:p>
        </w:tc>
        <w:tc>
          <w:tcPr>
            <w:tcW w:w="1453"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default" w:ascii="宋体" w:hAnsi="宋体" w:eastAsia="宋体" w:cs="宋体"/>
                <w:snapToGrid/>
                <w:color w:val="auto"/>
                <w:kern w:val="2"/>
                <w:sz w:val="24"/>
                <w:szCs w:val="24"/>
                <w:highlight w:val="none"/>
                <w:lang w:val="en-US" w:eastAsia="zh-CN"/>
              </w:rPr>
            </w:pPr>
          </w:p>
        </w:tc>
        <w:tc>
          <w:tcPr>
            <w:tcW w:w="1528"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default" w:ascii="宋体" w:hAnsi="宋体" w:eastAsia="宋体" w:cs="宋体"/>
                <w:snapToGrid/>
                <w:color w:val="auto"/>
                <w:kern w:val="2"/>
                <w:sz w:val="24"/>
                <w:szCs w:val="24"/>
                <w:highlight w:val="none"/>
                <w:lang w:val="en-US" w:eastAsia="zh-CN"/>
              </w:rPr>
            </w:pPr>
          </w:p>
        </w:tc>
        <w:tc>
          <w:tcPr>
            <w:tcW w:w="1921"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default" w:ascii="宋体" w:hAnsi="宋体" w:eastAsia="宋体" w:cs="宋体"/>
                <w:snapToGrid/>
                <w:color w:val="auto"/>
                <w:kern w:val="2"/>
                <w:sz w:val="24"/>
                <w:szCs w:val="24"/>
                <w:highlight w:val="none"/>
                <w:lang w:val="en-US" w:eastAsia="zh-CN"/>
              </w:rPr>
            </w:pPr>
          </w:p>
        </w:tc>
        <w:tc>
          <w:tcPr>
            <w:tcW w:w="1285"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Merge w:val="restart"/>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项目组成员</w:t>
            </w:r>
          </w:p>
        </w:tc>
        <w:tc>
          <w:tcPr>
            <w:tcW w:w="94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882"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453"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528"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921"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285"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Merge w:val="continue"/>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94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882"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453"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528"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921"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285"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Merge w:val="continue"/>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94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882"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453"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528"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921"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285"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Merge w:val="continue"/>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94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882"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453"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528"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921"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285"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Merge w:val="continue"/>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94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882"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453"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528"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921"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285"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7" w:type="dxa"/>
            <w:vMerge w:val="continue"/>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947"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w:t>
            </w:r>
          </w:p>
        </w:tc>
        <w:tc>
          <w:tcPr>
            <w:tcW w:w="882"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453"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528"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921"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c>
          <w:tcPr>
            <w:tcW w:w="1285" w:type="dxa"/>
            <w:vAlign w:val="center"/>
          </w:tcPr>
          <w:p>
            <w:pPr>
              <w:keepNext w:val="0"/>
              <w:keepLines w:val="0"/>
              <w:widowControl w:val="0"/>
              <w:suppressLineNumbers w:val="0"/>
              <w:kinsoku/>
              <w:autoSpaceDE/>
              <w:autoSpaceDN/>
              <w:adjustRightInd/>
              <w:spacing w:before="0" w:beforeAutospacing="0" w:after="0" w:afterAutospacing="0"/>
              <w:ind w:left="0" w:right="0"/>
              <w:jc w:val="center"/>
              <w:textAlignment w:val="auto"/>
              <w:rPr>
                <w:rFonts w:hint="eastAsia" w:ascii="宋体" w:hAnsi="宋体" w:eastAsia="宋体" w:cs="宋体"/>
                <w:snapToGrid/>
                <w:color w:val="auto"/>
                <w:kern w:val="2"/>
                <w:sz w:val="24"/>
                <w:szCs w:val="24"/>
                <w:highlight w:val="none"/>
                <w:lang w:val="en-US" w:eastAsia="zh-CN"/>
              </w:rPr>
            </w:pPr>
          </w:p>
        </w:tc>
      </w:tr>
    </w:tbl>
    <w:p>
      <w:pPr>
        <w:widowControl w:val="0"/>
        <w:kinsoku/>
        <w:autoSpaceDE/>
        <w:autoSpaceDN/>
        <w:adjustRightInd/>
        <w:spacing w:line="480" w:lineRule="auto"/>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注：供应商应在本表后附拟派人员（含项目负责人）的身份证、注册会计师证书、社保证明等材料扫描件或复印件，并</w:t>
      </w:r>
      <w:r>
        <w:rPr>
          <w:rFonts w:hint="eastAsia" w:ascii="宋体" w:hAnsi="宋体" w:eastAsia="宋体" w:cs="宋体"/>
          <w:b/>
          <w:bCs/>
          <w:sz w:val="24"/>
          <w:szCs w:val="24"/>
          <w:lang w:val="en-US" w:eastAsia="zh-CN"/>
        </w:rPr>
        <w:t>加盖公章</w:t>
      </w:r>
      <w:r>
        <w:rPr>
          <w:rFonts w:hint="eastAsia" w:ascii="宋体" w:hAnsi="宋体" w:eastAsia="宋体" w:cs="宋体"/>
          <w:b/>
          <w:bCs/>
          <w:color w:val="auto"/>
          <w:sz w:val="24"/>
          <w:szCs w:val="24"/>
          <w:lang w:val="en-US" w:eastAsia="zh-CN"/>
        </w:rPr>
        <w:t>。</w:t>
      </w:r>
    </w:p>
    <w:p>
      <w:pPr>
        <w:widowControl w:val="0"/>
        <w:kinsoku/>
        <w:autoSpaceDE/>
        <w:autoSpaceDN/>
        <w:adjustRightInd/>
        <w:snapToGrid/>
        <w:spacing w:line="480" w:lineRule="exact"/>
        <w:jc w:val="left"/>
        <w:textAlignment w:val="auto"/>
        <w:rPr>
          <w:rFonts w:hint="eastAsia" w:ascii="宋体" w:hAnsi="宋体" w:eastAsia="宋体" w:cs="宋体"/>
          <w:color w:val="auto"/>
          <w:sz w:val="24"/>
          <w:szCs w:val="24"/>
        </w:rPr>
      </w:pPr>
    </w:p>
    <w:p>
      <w:pPr>
        <w:widowControl w:val="0"/>
        <w:kinsoku/>
        <w:autoSpaceDE/>
        <w:autoSpaceDN/>
        <w:adjustRightInd/>
        <w:snapToGrid/>
        <w:spacing w:line="480" w:lineRule="exact"/>
        <w:textAlignment w:val="auto"/>
        <w:rPr>
          <w:rFonts w:hint="eastAsia" w:ascii="宋体" w:hAnsi="宋体" w:eastAsia="宋体" w:cs="宋体"/>
          <w:color w:val="auto"/>
          <w:sz w:val="24"/>
          <w:szCs w:val="24"/>
        </w:rPr>
      </w:pPr>
    </w:p>
    <w:p>
      <w:pPr>
        <w:widowControl w:val="0"/>
        <w:kinsoku/>
        <w:autoSpaceDE/>
        <w:autoSpaceDN/>
        <w:adjustRightInd/>
        <w:snapToGrid/>
        <w:spacing w:line="480" w:lineRule="exact"/>
        <w:textAlignment w:val="auto"/>
        <w:rPr>
          <w:rFonts w:hint="eastAsia" w:ascii="宋体" w:hAnsi="宋体" w:eastAsia="宋体" w:cs="宋体"/>
          <w:color w:val="auto"/>
          <w:sz w:val="24"/>
          <w:szCs w:val="24"/>
        </w:rPr>
      </w:pPr>
    </w:p>
    <w:p>
      <w:pPr>
        <w:widowControl w:val="0"/>
        <w:kinsoku/>
        <w:autoSpaceDE/>
        <w:autoSpaceDN/>
        <w:adjustRightInd/>
        <w:snapToGrid/>
        <w:spacing w:line="480" w:lineRule="exact"/>
        <w:textAlignment w:val="auto"/>
        <w:rPr>
          <w:rFonts w:hint="eastAsia" w:ascii="宋体" w:hAnsi="宋体" w:eastAsia="宋体" w:cs="宋体"/>
          <w:color w:val="auto"/>
          <w:sz w:val="24"/>
          <w:szCs w:val="24"/>
        </w:rPr>
      </w:pPr>
    </w:p>
    <w:p>
      <w:pPr>
        <w:numPr>
          <w:ilvl w:val="0"/>
          <w:numId w:val="0"/>
        </w:num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lang w:val="en-US" w:eastAsia="zh-CN" w:bidi="ar"/>
        </w:rPr>
      </w:pPr>
    </w:p>
    <w:p>
      <w:pPr>
        <w:numPr>
          <w:ilvl w:val="0"/>
          <w:numId w:val="0"/>
        </w:num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lang w:val="en-US" w:eastAsia="zh-CN" w:bidi="ar"/>
        </w:rPr>
      </w:pPr>
    </w:p>
    <w:p>
      <w:pPr>
        <w:numPr>
          <w:ilvl w:val="0"/>
          <w:numId w:val="0"/>
        </w:num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lang w:val="en-US" w:eastAsia="zh-CN" w:bidi="ar"/>
        </w:rPr>
      </w:pPr>
    </w:p>
    <w:p>
      <w:pPr>
        <w:numPr>
          <w:ilvl w:val="0"/>
          <w:numId w:val="0"/>
        </w:num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lang w:val="en-US" w:eastAsia="zh-CN" w:bidi="ar"/>
        </w:rPr>
      </w:pPr>
    </w:p>
    <w:p>
      <w:pPr>
        <w:numPr>
          <w:ilvl w:val="0"/>
          <w:numId w:val="0"/>
        </w:num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lang w:val="en-US" w:eastAsia="zh-CN" w:bidi="ar"/>
        </w:rPr>
      </w:pPr>
    </w:p>
    <w:p>
      <w:pPr>
        <w:numPr>
          <w:ilvl w:val="0"/>
          <w:numId w:val="0"/>
        </w:num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lang w:val="en-US" w:eastAsia="zh-CN" w:bidi="ar"/>
        </w:rPr>
      </w:pPr>
    </w:p>
    <w:p>
      <w:pPr>
        <w:numPr>
          <w:ilvl w:val="0"/>
          <w:numId w:val="0"/>
        </w:num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lang w:val="en-US" w:eastAsia="zh-CN" w:bidi="ar"/>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outlineLvl w:val="1"/>
        <w:rPr>
          <w:rFonts w:hint="eastAsia" w:ascii="宋体" w:hAnsi="宋体" w:eastAsia="宋体" w:cs="宋体"/>
          <w:b/>
          <w:bCs/>
          <w:sz w:val="32"/>
          <w:szCs w:val="32"/>
          <w:lang w:val="en-US" w:eastAsia="zh-CN" w:bidi="ar"/>
        </w:rPr>
      </w:pPr>
      <w:r>
        <w:rPr>
          <w:rFonts w:hint="eastAsia" w:ascii="宋体" w:hAnsi="宋体" w:eastAsia="宋体" w:cs="宋体"/>
          <w:b/>
          <w:bCs/>
          <w:sz w:val="32"/>
          <w:szCs w:val="32"/>
          <w:lang w:val="en-US" w:eastAsia="zh-CN" w:bidi="ar"/>
        </w:rPr>
        <w:t>4.比选响应函</w:t>
      </w:r>
    </w:p>
    <w:p>
      <w:pPr>
        <w:spacing w:line="44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40" w:lineRule="exact"/>
        <w:ind w:firstLine="480" w:firstLineChars="200"/>
        <w:rPr>
          <w:rFonts w:hint="eastAsia" w:ascii="宋体" w:hAnsi="宋体" w:eastAsia="宋体" w:cs="宋体"/>
          <w:dstrike/>
          <w:sz w:val="24"/>
          <w:szCs w:val="24"/>
        </w:rPr>
      </w:pPr>
      <w:r>
        <w:rPr>
          <w:rFonts w:hint="eastAsia" w:ascii="宋体" w:hAnsi="宋体" w:eastAsia="宋体" w:cs="宋体"/>
          <w:sz w:val="24"/>
          <w:szCs w:val="24"/>
        </w:rPr>
        <w:t>我方已全面阅读和研究贵方比选文件，已充分理解并掌握了本次比选的全部有关情况。同意接受比选文件的全部内容和条件，以本投标书向你方发包的全部内容进行投标。根据贵方的</w:t>
      </w:r>
      <w:bookmarkStart w:id="10" w:name="_Hlk44287576"/>
      <w:r>
        <w:rPr>
          <w:rFonts w:hint="eastAsia" w:ascii="宋体" w:hAnsi="宋体" w:eastAsia="宋体" w:cs="宋体"/>
          <w:sz w:val="24"/>
          <w:szCs w:val="24"/>
        </w:rPr>
        <w:t>比选文件</w:t>
      </w:r>
      <w:bookmarkEnd w:id="10"/>
      <w:r>
        <w:rPr>
          <w:rFonts w:hint="eastAsia" w:ascii="宋体" w:hAnsi="宋体" w:eastAsia="宋体" w:cs="宋体"/>
          <w:sz w:val="24"/>
          <w:szCs w:val="24"/>
        </w:rPr>
        <w:t>要求，我方兹宣布同意如下：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1.如我</w:t>
      </w:r>
      <w:r>
        <w:rPr>
          <w:rFonts w:hint="eastAsia" w:ascii="宋体" w:hAnsi="宋体" w:eastAsia="宋体" w:cs="宋体"/>
          <w:b w:val="0"/>
          <w:bCs w:val="0"/>
          <w:color w:val="auto"/>
          <w:sz w:val="24"/>
          <w:szCs w:val="24"/>
          <w:highlight w:val="none"/>
          <w:lang w:val="en-US" w:eastAsia="zh-CN"/>
        </w:rPr>
        <w:t>单位</w:t>
      </w:r>
      <w:r>
        <w:rPr>
          <w:rFonts w:hint="eastAsia" w:ascii="宋体" w:hAnsi="宋体" w:eastAsia="宋体" w:cs="宋体"/>
          <w:sz w:val="24"/>
          <w:szCs w:val="24"/>
        </w:rPr>
        <w:t>成交，我</w:t>
      </w:r>
      <w:r>
        <w:rPr>
          <w:rFonts w:hint="eastAsia" w:ascii="宋体" w:hAnsi="宋体" w:eastAsia="宋体" w:cs="宋体"/>
          <w:b w:val="0"/>
          <w:bCs w:val="0"/>
          <w:color w:val="auto"/>
          <w:sz w:val="24"/>
          <w:szCs w:val="24"/>
          <w:highlight w:val="none"/>
          <w:lang w:val="en-US" w:eastAsia="zh-CN"/>
        </w:rPr>
        <w:t>单位</w:t>
      </w:r>
      <w:r>
        <w:rPr>
          <w:rFonts w:hint="eastAsia" w:ascii="宋体" w:hAnsi="宋体" w:eastAsia="宋体" w:cs="宋体"/>
          <w:sz w:val="24"/>
          <w:szCs w:val="24"/>
        </w:rPr>
        <w:t>承诺愿意按比选文件规定缴纳履约保证金（如有）和成交服务费。按本次比选文件规定报价承诺服务。</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2.我方根据本次比选文件的规定，严格履行合同的责任和义务,并保证于甲方（比选人）要求的日期内完成服务，并通过甲方（比选人）验收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我方任命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同志为本项目负责人。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3.我方已详细审核本次比选文件，包括比选文件附件、参考资料、更正公告或图纸（如有），我方正式认可并遵守本次比选文件，并对比选文件各项条款、规定及要求均无异议。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4.我方同意从比选须知规定的比选日期起遵循本比选文件，并在比选须知规定的比选有效期之前均具有约束力。</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5.我方同意按贵方要求在比选文件规定时间内向贵方提供与其比选有关的任何证据或补充资料，否则，我方的响应文件可被贵方拒绝。</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6.我方完全理解贵方不一定接受最低报价的比选。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7.我方同意比选文件规定的付款方式、服务期限。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8.我方承诺在收到中标通知书后，在中标通知书规定的期限内与你方签订合同。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9.我方承诺在合同约定的期限内完成并移交</w:t>
      </w:r>
      <w:bookmarkStart w:id="11" w:name="_GoBack"/>
      <w:bookmarkEnd w:id="11"/>
      <w:r>
        <w:rPr>
          <w:rFonts w:hint="eastAsia" w:ascii="宋体" w:hAnsi="宋体" w:eastAsia="宋体" w:cs="宋体"/>
          <w:sz w:val="24"/>
          <w:szCs w:val="24"/>
        </w:rPr>
        <w:t>全部合同内容。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10.我方对响应文件中所提供资料、文件、证书及证件的真实性和有效性负责。</w:t>
      </w:r>
    </w:p>
    <w:p>
      <w:pPr>
        <w:pStyle w:val="6"/>
        <w:rPr>
          <w:rFonts w:hint="eastAsia" w:ascii="宋体" w:hAnsi="宋体" w:eastAsia="宋体" w:cs="宋体"/>
          <w:sz w:val="24"/>
          <w:szCs w:val="24"/>
        </w:rPr>
      </w:pPr>
    </w:p>
    <w:p>
      <w:pPr>
        <w:keepNext w:val="0"/>
        <w:keepLines w:val="0"/>
        <w:pageBreakBefore w:val="0"/>
        <w:widowControl w:val="0"/>
        <w:kinsoku w:val="0"/>
        <w:wordWrap/>
        <w:overflowPunct/>
        <w:topLinePunct w:val="0"/>
        <w:autoSpaceDE w:val="0"/>
        <w:autoSpaceDN w:val="0"/>
        <w:bidi w:val="0"/>
        <w:adjustRightInd w:val="0"/>
        <w:snapToGrid w:val="0"/>
        <w:spacing w:line="900" w:lineRule="exact"/>
        <w:ind w:firstLine="2400" w:firstLineChars="100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比选响应人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宋体" w:hAnsi="宋体" w:eastAsia="宋体" w:cs="宋体"/>
          <w:b/>
          <w:bCs/>
          <w:sz w:val="32"/>
          <w:szCs w:val="32"/>
          <w:lang w:val="en-US" w:eastAsia="zh-CN" w:bidi="ar"/>
        </w:rPr>
      </w:pPr>
      <w:r>
        <w:rPr>
          <w:rFonts w:hint="eastAsia" w:ascii="宋体" w:hAnsi="宋体" w:eastAsia="宋体" w:cs="宋体"/>
          <w:sz w:val="24"/>
          <w:szCs w:val="24"/>
          <w:lang w:bidi="ar"/>
        </w:rPr>
        <w:t>年   月   日</w:t>
      </w:r>
    </w:p>
    <w:p>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outlineLvl w:val="1"/>
        <w:rPr>
          <w:rFonts w:hint="eastAsia" w:ascii="宋体" w:hAnsi="宋体" w:eastAsia="宋体" w:cs="宋体"/>
          <w:b/>
          <w:bCs/>
          <w:sz w:val="32"/>
          <w:szCs w:val="32"/>
          <w:lang w:val="en-US" w:eastAsia="zh-CN" w:bidi="ar"/>
        </w:rPr>
      </w:pPr>
      <w:r>
        <w:rPr>
          <w:rFonts w:hint="eastAsia" w:ascii="宋体" w:hAnsi="宋体" w:eastAsia="宋体" w:cs="宋体"/>
          <w:b/>
          <w:bCs/>
          <w:sz w:val="32"/>
          <w:szCs w:val="32"/>
          <w:lang w:val="en-US" w:eastAsia="zh-CN" w:bidi="ar"/>
        </w:rPr>
        <w:t>5.报价表</w:t>
      </w:r>
    </w:p>
    <w:p>
      <w:pPr>
        <w:snapToGrid w:val="0"/>
        <w:spacing w:line="360" w:lineRule="auto"/>
        <w:jc w:val="left"/>
        <w:rPr>
          <w:rFonts w:hint="eastAsia" w:ascii="仿宋" w:hAnsi="仿宋" w:eastAsia="仿宋" w:cs="仿宋"/>
          <w:b/>
          <w:sz w:val="28"/>
          <w:szCs w:val="28"/>
        </w:rPr>
      </w:pPr>
    </w:p>
    <w:p>
      <w:pPr>
        <w:snapToGrid w:val="0"/>
        <w:spacing w:line="360" w:lineRule="auto"/>
        <w:ind w:firstLine="482" w:firstLineChars="200"/>
        <w:jc w:val="left"/>
        <w:rPr>
          <w:rFonts w:hint="eastAsia" w:ascii="宋体" w:hAnsi="宋体" w:eastAsia="宋体" w:cs="宋体"/>
          <w:b/>
          <w:sz w:val="24"/>
          <w:szCs w:val="24"/>
          <w:u w:val="single"/>
        </w:rPr>
      </w:pPr>
      <w:r>
        <w:rPr>
          <w:rFonts w:hint="eastAsia" w:ascii="宋体" w:hAnsi="宋体" w:eastAsia="宋体" w:cs="宋体"/>
          <w:b/>
          <w:sz w:val="24"/>
          <w:szCs w:val="24"/>
        </w:rPr>
        <w:t>项目名称：</w:t>
      </w:r>
      <w:r>
        <w:rPr>
          <w:rFonts w:hint="eastAsia" w:ascii="宋体" w:hAnsi="宋体" w:eastAsia="宋体" w:cs="宋体"/>
          <w:b/>
          <w:sz w:val="24"/>
          <w:szCs w:val="24"/>
          <w:u w:val="single"/>
        </w:rPr>
        <w:t xml:space="preserve">           </w:t>
      </w:r>
    </w:p>
    <w:p>
      <w:pPr>
        <w:pStyle w:val="14"/>
        <w:rPr>
          <w:rFonts w:hint="eastAsia"/>
        </w:rPr>
      </w:pPr>
    </w:p>
    <w:tbl>
      <w:tblPr>
        <w:tblStyle w:val="21"/>
        <w:tblW w:w="9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6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2672" w:type="dxa"/>
            <w:vMerge w:val="restart"/>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报价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6584" w:type="dxa"/>
            <w:vAlign w:val="center"/>
          </w:tcPr>
          <w:p>
            <w:pPr>
              <w:keepNext w:val="0"/>
              <w:keepLines w:val="0"/>
              <w:suppressLineNumbers w:val="0"/>
              <w:snapToGrid w:val="0"/>
              <w:spacing w:before="0" w:beforeAutospacing="0" w:after="0" w:afterAutospacing="0" w:line="360" w:lineRule="auto"/>
              <w:ind w:left="0" w:right="0" w:firstLine="960" w:firstLineChars="400"/>
              <w:jc w:val="both"/>
              <w:rPr>
                <w:rFonts w:hint="eastAsia" w:ascii="宋体" w:hAnsi="宋体" w:eastAsia="宋体" w:cs="宋体"/>
                <w:b/>
                <w:sz w:val="24"/>
                <w:szCs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2672"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6584" w:type="dxa"/>
            <w:vAlign w:val="center"/>
          </w:tcPr>
          <w:p>
            <w:pPr>
              <w:keepNext w:val="0"/>
              <w:keepLines w:val="0"/>
              <w:suppressLineNumbers w:val="0"/>
              <w:snapToGrid w:val="0"/>
              <w:spacing w:before="0" w:beforeAutospacing="0" w:after="0" w:afterAutospacing="0" w:line="360" w:lineRule="auto"/>
              <w:ind w:left="0" w:right="0" w:firstLine="960" w:firstLineChars="400"/>
              <w:jc w:val="both"/>
              <w:rPr>
                <w:rFonts w:hint="eastAsia" w:ascii="宋体" w:hAnsi="宋体" w:eastAsia="宋体" w:cs="宋体"/>
                <w:b/>
                <w:sz w:val="24"/>
                <w:szCs w:val="24"/>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26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备注说明</w:t>
            </w:r>
          </w:p>
        </w:tc>
        <w:tc>
          <w:tcPr>
            <w:tcW w:w="6584" w:type="dxa"/>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r>
    </w:tbl>
    <w:p>
      <w:pPr>
        <w:spacing w:line="440" w:lineRule="exact"/>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pStyle w:val="6"/>
        <w:rPr>
          <w:rFonts w:hint="eastAsia" w:ascii="宋体" w:hAnsi="宋体" w:eastAsia="宋体" w:cs="宋体"/>
          <w:sz w:val="24"/>
          <w:szCs w:val="24"/>
        </w:rPr>
      </w:pPr>
    </w:p>
    <w:p>
      <w:pPr>
        <w:spacing w:line="440" w:lineRule="exact"/>
        <w:ind w:firstLine="4800" w:firstLineChars="2000"/>
        <w:rPr>
          <w:rFonts w:hint="eastAsia" w:ascii="宋体" w:hAnsi="宋体" w:eastAsia="宋体" w:cs="宋体"/>
          <w:sz w:val="24"/>
          <w:szCs w:val="24"/>
        </w:rPr>
      </w:pPr>
    </w:p>
    <w:p>
      <w:pPr>
        <w:keepNext w:val="0"/>
        <w:keepLines w:val="0"/>
        <w:pageBreakBefore w:val="0"/>
        <w:kinsoku w:val="0"/>
        <w:wordWrap/>
        <w:overflowPunct/>
        <w:topLinePunct w:val="0"/>
        <w:autoSpaceDE w:val="0"/>
        <w:autoSpaceDN w:val="0"/>
        <w:bidi w:val="0"/>
        <w:adjustRightInd w:val="0"/>
        <w:snapToGrid w:val="0"/>
        <w:spacing w:line="900" w:lineRule="exact"/>
        <w:ind w:firstLine="2640" w:firstLineChars="1100"/>
        <w:jc w:val="right"/>
        <w:textAlignment w:val="baseline"/>
        <w:rPr>
          <w:rFonts w:hint="eastAsia" w:ascii="宋体" w:hAnsi="宋体" w:eastAsia="宋体" w:cs="宋体"/>
          <w:sz w:val="24"/>
          <w:szCs w:val="24"/>
        </w:rPr>
      </w:pPr>
      <w:r>
        <w:rPr>
          <w:rFonts w:hint="eastAsia" w:ascii="宋体" w:hAnsi="宋体" w:eastAsia="宋体" w:cs="宋体"/>
          <w:sz w:val="24"/>
          <w:szCs w:val="24"/>
          <w:lang w:eastAsia="zh-CN"/>
        </w:rPr>
        <w:t>比选响应人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（盖单位章） </w:t>
      </w:r>
    </w:p>
    <w:p>
      <w:pPr>
        <w:keepNext w:val="0"/>
        <w:keepLines w:val="0"/>
        <w:pageBreakBefore w:val="0"/>
        <w:kinsoku w:val="0"/>
        <w:wordWrap/>
        <w:overflowPunct/>
        <w:topLinePunct w:val="0"/>
        <w:autoSpaceDE w:val="0"/>
        <w:autoSpaceDN w:val="0"/>
        <w:bidi w:val="0"/>
        <w:adjustRightInd w:val="0"/>
        <w:snapToGrid w:val="0"/>
        <w:spacing w:line="900" w:lineRule="exact"/>
        <w:ind w:firstLine="2160" w:firstLineChars="900"/>
        <w:jc w:val="right"/>
        <w:textAlignment w:val="baseline"/>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wordWrap/>
        <w:overflowPunct/>
        <w:topLinePunct w:val="0"/>
        <w:bidi w:val="0"/>
        <w:spacing w:before="156" w:after="156" w:line="900" w:lineRule="exact"/>
        <w:jc w:val="right"/>
        <w:outlineLvl w:val="9"/>
        <w:rPr>
          <w:rFonts w:hint="eastAsia" w:hAnsi="宋体" w:cs="宋体"/>
        </w:rPr>
      </w:pPr>
      <w:r>
        <w:rPr>
          <w:rFonts w:hint="eastAsia" w:ascii="宋体" w:hAnsi="宋体" w:eastAsia="宋体" w:cs="宋体"/>
          <w:b w:val="0"/>
          <w:bCs w:val="0"/>
          <w:sz w:val="24"/>
          <w:szCs w:val="24"/>
          <w:lang w:bidi="ar"/>
        </w:rPr>
        <w:t>年   月   日</w:t>
      </w:r>
    </w:p>
    <w:p>
      <w:pPr>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outlineLvl w:val="1"/>
        <w:rPr>
          <w:rFonts w:hint="default" w:ascii="宋体" w:hAnsi="宋体" w:eastAsia="宋体" w:cs="宋体"/>
          <w:b/>
          <w:bCs/>
          <w:sz w:val="32"/>
          <w:szCs w:val="32"/>
          <w:lang w:val="en-US" w:eastAsia="zh-CN" w:bidi="ar"/>
        </w:rPr>
      </w:pPr>
      <w:r>
        <w:rPr>
          <w:rFonts w:hint="eastAsia" w:ascii="宋体" w:hAnsi="宋体" w:eastAsia="宋体" w:cs="宋体"/>
          <w:b/>
          <w:bCs/>
          <w:sz w:val="32"/>
          <w:szCs w:val="32"/>
          <w:lang w:val="en-US" w:eastAsia="zh-CN" w:bidi="ar"/>
        </w:rPr>
        <w:t>6.总体服务方案</w:t>
      </w:r>
    </w:p>
    <w:p>
      <w:pPr>
        <w:keepNext w:val="0"/>
        <w:keepLines w:val="0"/>
        <w:pageBreakBefore w:val="0"/>
        <w:widowControl w:val="0"/>
        <w:wordWrap/>
        <w:overflowPunct/>
        <w:topLinePunct w:val="0"/>
        <w:bidi w:val="0"/>
        <w:ind w:right="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（格式自拟）</w:t>
      </w: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outlineLvl w:val="1"/>
        <w:rPr>
          <w:rFonts w:hint="default" w:ascii="宋体" w:hAnsi="宋体" w:eastAsia="宋体" w:cs="宋体"/>
          <w:b/>
          <w:bCs/>
          <w:sz w:val="32"/>
          <w:szCs w:val="32"/>
          <w:lang w:val="en-US" w:eastAsia="zh-CN" w:bidi="ar"/>
        </w:rPr>
      </w:pPr>
      <w:r>
        <w:rPr>
          <w:rFonts w:hint="eastAsia" w:ascii="宋体" w:hAnsi="宋体" w:eastAsia="宋体" w:cs="宋体"/>
          <w:b/>
          <w:bCs/>
          <w:sz w:val="32"/>
          <w:szCs w:val="32"/>
          <w:lang w:val="en-US" w:eastAsia="zh-CN" w:bidi="ar"/>
        </w:rPr>
        <w:t>7.其他资料</w:t>
      </w:r>
    </w:p>
    <w:p>
      <w:pPr>
        <w:keepNext w:val="0"/>
        <w:keepLines w:val="0"/>
        <w:pageBreakBefore w:val="0"/>
        <w:widowControl w:val="0"/>
        <w:wordWrap/>
        <w:overflowPunct/>
        <w:topLinePunct w:val="0"/>
        <w:bidi w:val="0"/>
        <w:ind w:right="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（格式自拟）</w:t>
      </w:r>
    </w:p>
    <w:p>
      <w:pPr>
        <w:pStyle w:val="2"/>
        <w:rPr>
          <w:rFonts w:hint="default"/>
          <w:lang w:val="en-US" w:eastAsia="zh-CN"/>
        </w:rPr>
      </w:pPr>
    </w:p>
    <w:sectPr>
      <w:footerReference r:id="rId3" w:type="default"/>
      <w:pgSz w:w="11906" w:h="16838"/>
      <w:pgMar w:top="1440" w:right="186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UI"/>
    <w:panose1 w:val="02010609000101010101"/>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438"/>
      </w:tabs>
      <w:spacing w:before="58" w:line="230" w:lineRule="auto"/>
      <w:ind w:left="3778"/>
      <w:rPr>
        <w:rFonts w:ascii="宋体" w:hAnsi="宋体" w:eastAsia="宋体" w:cs="宋体"/>
        <w:sz w:val="17"/>
        <w:szCs w:val="17"/>
      </w:rPr>
    </w:pPr>
    <w:r>
      <w:rPr>
        <w:rFonts w:hint="eastAsia" w:ascii="宋体" w:hAnsi="宋体" w:eastAsia="宋体" w:cs="宋体"/>
        <w:sz w:val="17"/>
        <w:szCs w:val="17"/>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2DAE2C04"/>
    <w:rsid w:val="002E28C7"/>
    <w:rsid w:val="0057374A"/>
    <w:rsid w:val="00653DAD"/>
    <w:rsid w:val="00A17E82"/>
    <w:rsid w:val="018C2F5C"/>
    <w:rsid w:val="01B666C0"/>
    <w:rsid w:val="02482711"/>
    <w:rsid w:val="02CA596A"/>
    <w:rsid w:val="02D432A2"/>
    <w:rsid w:val="02D84414"/>
    <w:rsid w:val="03502739"/>
    <w:rsid w:val="03795BF7"/>
    <w:rsid w:val="03CD1F35"/>
    <w:rsid w:val="041B6CAE"/>
    <w:rsid w:val="047A1C27"/>
    <w:rsid w:val="052F5AAA"/>
    <w:rsid w:val="0530229D"/>
    <w:rsid w:val="0550088B"/>
    <w:rsid w:val="056A0FA1"/>
    <w:rsid w:val="06017FDA"/>
    <w:rsid w:val="063D115E"/>
    <w:rsid w:val="0672634E"/>
    <w:rsid w:val="067405EB"/>
    <w:rsid w:val="06E91DAA"/>
    <w:rsid w:val="072A7934"/>
    <w:rsid w:val="07825807"/>
    <w:rsid w:val="07A219F4"/>
    <w:rsid w:val="07B2792A"/>
    <w:rsid w:val="07FE47FE"/>
    <w:rsid w:val="08175CC0"/>
    <w:rsid w:val="0876736C"/>
    <w:rsid w:val="08804D17"/>
    <w:rsid w:val="08852948"/>
    <w:rsid w:val="08C11344"/>
    <w:rsid w:val="09463994"/>
    <w:rsid w:val="09616AAC"/>
    <w:rsid w:val="09FE0C04"/>
    <w:rsid w:val="0A6C0264"/>
    <w:rsid w:val="0A7573EA"/>
    <w:rsid w:val="0AFD710E"/>
    <w:rsid w:val="0BB05F2E"/>
    <w:rsid w:val="0C1E558E"/>
    <w:rsid w:val="0CA0179D"/>
    <w:rsid w:val="0CA42EE1"/>
    <w:rsid w:val="0D805CDE"/>
    <w:rsid w:val="0D8E229F"/>
    <w:rsid w:val="0DA41AC3"/>
    <w:rsid w:val="0DF85455"/>
    <w:rsid w:val="0E136BC8"/>
    <w:rsid w:val="0E895FA7"/>
    <w:rsid w:val="0E9D5B72"/>
    <w:rsid w:val="0F2F6065"/>
    <w:rsid w:val="0FB54908"/>
    <w:rsid w:val="102B2FF8"/>
    <w:rsid w:val="10334A52"/>
    <w:rsid w:val="10512976"/>
    <w:rsid w:val="109F7496"/>
    <w:rsid w:val="10A2337E"/>
    <w:rsid w:val="10FB40F0"/>
    <w:rsid w:val="11436D54"/>
    <w:rsid w:val="11441BDD"/>
    <w:rsid w:val="11671785"/>
    <w:rsid w:val="119F605A"/>
    <w:rsid w:val="11FC011F"/>
    <w:rsid w:val="127C6D88"/>
    <w:rsid w:val="12CA0B27"/>
    <w:rsid w:val="12E27315"/>
    <w:rsid w:val="13144FF5"/>
    <w:rsid w:val="1353321F"/>
    <w:rsid w:val="1410477D"/>
    <w:rsid w:val="14E629BA"/>
    <w:rsid w:val="151F289A"/>
    <w:rsid w:val="15227E9D"/>
    <w:rsid w:val="15C508F2"/>
    <w:rsid w:val="15E13DBF"/>
    <w:rsid w:val="15E53D92"/>
    <w:rsid w:val="160D38E8"/>
    <w:rsid w:val="16847EF9"/>
    <w:rsid w:val="16943A91"/>
    <w:rsid w:val="16EA2C3C"/>
    <w:rsid w:val="17316E44"/>
    <w:rsid w:val="175B58E8"/>
    <w:rsid w:val="17632963"/>
    <w:rsid w:val="176F3141"/>
    <w:rsid w:val="186B4734"/>
    <w:rsid w:val="188749B5"/>
    <w:rsid w:val="19121FD6"/>
    <w:rsid w:val="19580E62"/>
    <w:rsid w:val="197B401F"/>
    <w:rsid w:val="1A2664F0"/>
    <w:rsid w:val="1A4B1C44"/>
    <w:rsid w:val="1A4C59BC"/>
    <w:rsid w:val="1AF00B1E"/>
    <w:rsid w:val="1B2A6A9A"/>
    <w:rsid w:val="1B4318B7"/>
    <w:rsid w:val="1B7529C4"/>
    <w:rsid w:val="1B841F7A"/>
    <w:rsid w:val="1B866CAC"/>
    <w:rsid w:val="1BF91A76"/>
    <w:rsid w:val="1C0F4EF3"/>
    <w:rsid w:val="1C546BD2"/>
    <w:rsid w:val="1C5A0804"/>
    <w:rsid w:val="1C7F5BD5"/>
    <w:rsid w:val="1CA00480"/>
    <w:rsid w:val="1DB41DC8"/>
    <w:rsid w:val="1DFD5937"/>
    <w:rsid w:val="1E1E766F"/>
    <w:rsid w:val="1E462B69"/>
    <w:rsid w:val="1F0F4909"/>
    <w:rsid w:val="1F1015B0"/>
    <w:rsid w:val="1FD61FB0"/>
    <w:rsid w:val="1FF64400"/>
    <w:rsid w:val="205B139A"/>
    <w:rsid w:val="20FD356C"/>
    <w:rsid w:val="2113059E"/>
    <w:rsid w:val="211A20DA"/>
    <w:rsid w:val="21305C0E"/>
    <w:rsid w:val="21604349"/>
    <w:rsid w:val="21B31E7D"/>
    <w:rsid w:val="21C7632C"/>
    <w:rsid w:val="21E64000"/>
    <w:rsid w:val="21E93EDD"/>
    <w:rsid w:val="224041DB"/>
    <w:rsid w:val="224B29C2"/>
    <w:rsid w:val="224F3585"/>
    <w:rsid w:val="22F62969"/>
    <w:rsid w:val="23147F06"/>
    <w:rsid w:val="23652F67"/>
    <w:rsid w:val="236A1AAB"/>
    <w:rsid w:val="237C10C0"/>
    <w:rsid w:val="2426102C"/>
    <w:rsid w:val="249B261C"/>
    <w:rsid w:val="24A02C63"/>
    <w:rsid w:val="24D42836"/>
    <w:rsid w:val="25626093"/>
    <w:rsid w:val="25B82157"/>
    <w:rsid w:val="25FE400E"/>
    <w:rsid w:val="260B04D9"/>
    <w:rsid w:val="264F486A"/>
    <w:rsid w:val="26B43257"/>
    <w:rsid w:val="271D4D31"/>
    <w:rsid w:val="276B54D3"/>
    <w:rsid w:val="27B96E8B"/>
    <w:rsid w:val="28B35646"/>
    <w:rsid w:val="28CD1A76"/>
    <w:rsid w:val="292E6F36"/>
    <w:rsid w:val="29693AA7"/>
    <w:rsid w:val="29B04A21"/>
    <w:rsid w:val="2A3E0BD6"/>
    <w:rsid w:val="2A5306A1"/>
    <w:rsid w:val="2A790107"/>
    <w:rsid w:val="2A9E46C2"/>
    <w:rsid w:val="2AC171A5"/>
    <w:rsid w:val="2B232846"/>
    <w:rsid w:val="2B6B7EFF"/>
    <w:rsid w:val="2BCE14F4"/>
    <w:rsid w:val="2BD603D4"/>
    <w:rsid w:val="2BD870AF"/>
    <w:rsid w:val="2C062C80"/>
    <w:rsid w:val="2C0E2AD1"/>
    <w:rsid w:val="2C200BA3"/>
    <w:rsid w:val="2C532BDA"/>
    <w:rsid w:val="2C8014B7"/>
    <w:rsid w:val="2C972AC7"/>
    <w:rsid w:val="2CD15702"/>
    <w:rsid w:val="2CE51C3C"/>
    <w:rsid w:val="2D8550C0"/>
    <w:rsid w:val="2DAE2C04"/>
    <w:rsid w:val="2E0C1AC4"/>
    <w:rsid w:val="2E2F6D2F"/>
    <w:rsid w:val="2E530C6F"/>
    <w:rsid w:val="2F377CAB"/>
    <w:rsid w:val="2F6057DD"/>
    <w:rsid w:val="30465A15"/>
    <w:rsid w:val="30601421"/>
    <w:rsid w:val="306D0C7B"/>
    <w:rsid w:val="312740EC"/>
    <w:rsid w:val="313553C8"/>
    <w:rsid w:val="315C608D"/>
    <w:rsid w:val="315D6436"/>
    <w:rsid w:val="31836015"/>
    <w:rsid w:val="318367A7"/>
    <w:rsid w:val="31864EB8"/>
    <w:rsid w:val="319C70A1"/>
    <w:rsid w:val="31E8381B"/>
    <w:rsid w:val="327A0EC0"/>
    <w:rsid w:val="32AD1656"/>
    <w:rsid w:val="340053F5"/>
    <w:rsid w:val="34892D79"/>
    <w:rsid w:val="34A64054"/>
    <w:rsid w:val="34C53FA9"/>
    <w:rsid w:val="350B5E00"/>
    <w:rsid w:val="356130B4"/>
    <w:rsid w:val="35BF165C"/>
    <w:rsid w:val="364F4412"/>
    <w:rsid w:val="36607168"/>
    <w:rsid w:val="36DD513A"/>
    <w:rsid w:val="37055A53"/>
    <w:rsid w:val="37084BBB"/>
    <w:rsid w:val="370D3C64"/>
    <w:rsid w:val="37892AB3"/>
    <w:rsid w:val="37C02DD3"/>
    <w:rsid w:val="380056EB"/>
    <w:rsid w:val="38482EC7"/>
    <w:rsid w:val="38626FB3"/>
    <w:rsid w:val="386E418B"/>
    <w:rsid w:val="38A719E7"/>
    <w:rsid w:val="38C63BA7"/>
    <w:rsid w:val="39636167"/>
    <w:rsid w:val="397F3F36"/>
    <w:rsid w:val="39BD11EE"/>
    <w:rsid w:val="39D500DB"/>
    <w:rsid w:val="39DB5F6E"/>
    <w:rsid w:val="3A056ACA"/>
    <w:rsid w:val="3A332A11"/>
    <w:rsid w:val="3AB16F89"/>
    <w:rsid w:val="3B1F2BA9"/>
    <w:rsid w:val="3B831D09"/>
    <w:rsid w:val="3C1852A6"/>
    <w:rsid w:val="3C215FF2"/>
    <w:rsid w:val="3C282146"/>
    <w:rsid w:val="3C8C1F1C"/>
    <w:rsid w:val="3CA93999"/>
    <w:rsid w:val="3D3B56F0"/>
    <w:rsid w:val="3DFD1A92"/>
    <w:rsid w:val="3E2B4042"/>
    <w:rsid w:val="3F3348D1"/>
    <w:rsid w:val="3FA07A8C"/>
    <w:rsid w:val="3FB83028"/>
    <w:rsid w:val="3FF36623"/>
    <w:rsid w:val="40262DAF"/>
    <w:rsid w:val="40994C08"/>
    <w:rsid w:val="40A52ADD"/>
    <w:rsid w:val="40AA6EEC"/>
    <w:rsid w:val="40FF1BA6"/>
    <w:rsid w:val="41624818"/>
    <w:rsid w:val="416638E3"/>
    <w:rsid w:val="41B617E9"/>
    <w:rsid w:val="426976B5"/>
    <w:rsid w:val="429F5DD9"/>
    <w:rsid w:val="42C87355"/>
    <w:rsid w:val="42F56711"/>
    <w:rsid w:val="430250AC"/>
    <w:rsid w:val="43090BC7"/>
    <w:rsid w:val="43447715"/>
    <w:rsid w:val="44496E46"/>
    <w:rsid w:val="444A785A"/>
    <w:rsid w:val="44AF18F5"/>
    <w:rsid w:val="45071FF1"/>
    <w:rsid w:val="45DC53EE"/>
    <w:rsid w:val="461446D4"/>
    <w:rsid w:val="4669507C"/>
    <w:rsid w:val="467D4684"/>
    <w:rsid w:val="46825D85"/>
    <w:rsid w:val="4690085B"/>
    <w:rsid w:val="46AD1991"/>
    <w:rsid w:val="46D85727"/>
    <w:rsid w:val="46DD3374"/>
    <w:rsid w:val="47136D96"/>
    <w:rsid w:val="47486A40"/>
    <w:rsid w:val="47E50627"/>
    <w:rsid w:val="483E50ED"/>
    <w:rsid w:val="484405B6"/>
    <w:rsid w:val="494057CF"/>
    <w:rsid w:val="496B231B"/>
    <w:rsid w:val="498E0956"/>
    <w:rsid w:val="49B049E5"/>
    <w:rsid w:val="4A11580F"/>
    <w:rsid w:val="4A192915"/>
    <w:rsid w:val="4A212A7E"/>
    <w:rsid w:val="4A275032"/>
    <w:rsid w:val="4A3151FD"/>
    <w:rsid w:val="4AB97C54"/>
    <w:rsid w:val="4AD725DB"/>
    <w:rsid w:val="4AFC1BE3"/>
    <w:rsid w:val="4B15399D"/>
    <w:rsid w:val="4B390CF8"/>
    <w:rsid w:val="4B625664"/>
    <w:rsid w:val="4BAD67EC"/>
    <w:rsid w:val="4BBC16D9"/>
    <w:rsid w:val="4BD20FCE"/>
    <w:rsid w:val="4BF03B4A"/>
    <w:rsid w:val="4C8543E0"/>
    <w:rsid w:val="4CBD210B"/>
    <w:rsid w:val="4CC808B2"/>
    <w:rsid w:val="4CE2791C"/>
    <w:rsid w:val="4CE511D4"/>
    <w:rsid w:val="4D495369"/>
    <w:rsid w:val="4D812AEE"/>
    <w:rsid w:val="4EDA3604"/>
    <w:rsid w:val="4EF627E4"/>
    <w:rsid w:val="4F7640D9"/>
    <w:rsid w:val="4F912F4E"/>
    <w:rsid w:val="4F93316A"/>
    <w:rsid w:val="4FB05ACA"/>
    <w:rsid w:val="4FD2707D"/>
    <w:rsid w:val="50AB6B85"/>
    <w:rsid w:val="51317C99"/>
    <w:rsid w:val="51382590"/>
    <w:rsid w:val="51B70312"/>
    <w:rsid w:val="51E40EF9"/>
    <w:rsid w:val="52426CE1"/>
    <w:rsid w:val="52561DA8"/>
    <w:rsid w:val="52AA6800"/>
    <w:rsid w:val="53095C1D"/>
    <w:rsid w:val="535C1095"/>
    <w:rsid w:val="53755060"/>
    <w:rsid w:val="53922CC8"/>
    <w:rsid w:val="53C438F2"/>
    <w:rsid w:val="542D0A74"/>
    <w:rsid w:val="54686973"/>
    <w:rsid w:val="546E1278"/>
    <w:rsid w:val="5511700B"/>
    <w:rsid w:val="554747DA"/>
    <w:rsid w:val="557E5A39"/>
    <w:rsid w:val="558E2409"/>
    <w:rsid w:val="559A7000"/>
    <w:rsid w:val="55B07CD3"/>
    <w:rsid w:val="55B5340A"/>
    <w:rsid w:val="561F6F5A"/>
    <w:rsid w:val="56372C41"/>
    <w:rsid w:val="570105E4"/>
    <w:rsid w:val="57421056"/>
    <w:rsid w:val="574E77D1"/>
    <w:rsid w:val="5781726E"/>
    <w:rsid w:val="57D31058"/>
    <w:rsid w:val="582708F3"/>
    <w:rsid w:val="58647451"/>
    <w:rsid w:val="58DC0194"/>
    <w:rsid w:val="58E24461"/>
    <w:rsid w:val="59A32185"/>
    <w:rsid w:val="59FE08F5"/>
    <w:rsid w:val="5A1804F3"/>
    <w:rsid w:val="5A8E2EAB"/>
    <w:rsid w:val="5B254B8D"/>
    <w:rsid w:val="5B4E6197"/>
    <w:rsid w:val="5BD84465"/>
    <w:rsid w:val="5C385A4B"/>
    <w:rsid w:val="5DA352EC"/>
    <w:rsid w:val="5E011535"/>
    <w:rsid w:val="5E9B7945"/>
    <w:rsid w:val="5EBF1885"/>
    <w:rsid w:val="5ED24F05"/>
    <w:rsid w:val="5F0563D5"/>
    <w:rsid w:val="5F5A0A8D"/>
    <w:rsid w:val="5FC13ADD"/>
    <w:rsid w:val="5FDA624B"/>
    <w:rsid w:val="5FEE12B7"/>
    <w:rsid w:val="603A555D"/>
    <w:rsid w:val="607C3C86"/>
    <w:rsid w:val="608F2E78"/>
    <w:rsid w:val="60A30D33"/>
    <w:rsid w:val="613100ED"/>
    <w:rsid w:val="617C02F0"/>
    <w:rsid w:val="61C21E79"/>
    <w:rsid w:val="62161A12"/>
    <w:rsid w:val="621A14FB"/>
    <w:rsid w:val="62AC5EF5"/>
    <w:rsid w:val="63193B55"/>
    <w:rsid w:val="633A772C"/>
    <w:rsid w:val="63605A55"/>
    <w:rsid w:val="63DC345F"/>
    <w:rsid w:val="64371566"/>
    <w:rsid w:val="64A85CAB"/>
    <w:rsid w:val="64C319A4"/>
    <w:rsid w:val="64FF0C2E"/>
    <w:rsid w:val="65414D34"/>
    <w:rsid w:val="65515201"/>
    <w:rsid w:val="65E15295"/>
    <w:rsid w:val="66331B43"/>
    <w:rsid w:val="66430396"/>
    <w:rsid w:val="66846F11"/>
    <w:rsid w:val="66D33AAB"/>
    <w:rsid w:val="6756308B"/>
    <w:rsid w:val="67FE33B0"/>
    <w:rsid w:val="681376C3"/>
    <w:rsid w:val="68690C4B"/>
    <w:rsid w:val="6870599E"/>
    <w:rsid w:val="68A53C1E"/>
    <w:rsid w:val="68FD2E63"/>
    <w:rsid w:val="691722BE"/>
    <w:rsid w:val="693E5F01"/>
    <w:rsid w:val="698B43BF"/>
    <w:rsid w:val="69930429"/>
    <w:rsid w:val="6994440C"/>
    <w:rsid w:val="69B83AA1"/>
    <w:rsid w:val="69F7703D"/>
    <w:rsid w:val="6A5D139E"/>
    <w:rsid w:val="6A9371C3"/>
    <w:rsid w:val="6AD176B8"/>
    <w:rsid w:val="6AE47749"/>
    <w:rsid w:val="6B3D4F7E"/>
    <w:rsid w:val="6B93041A"/>
    <w:rsid w:val="6B94211D"/>
    <w:rsid w:val="6BA240C1"/>
    <w:rsid w:val="6C0E3286"/>
    <w:rsid w:val="6C1D3E73"/>
    <w:rsid w:val="6C354EC2"/>
    <w:rsid w:val="6CAB3449"/>
    <w:rsid w:val="6CC71B52"/>
    <w:rsid w:val="6CDD2FAF"/>
    <w:rsid w:val="6CF3228F"/>
    <w:rsid w:val="6D20306B"/>
    <w:rsid w:val="6D280E7F"/>
    <w:rsid w:val="6D737326"/>
    <w:rsid w:val="6DD864C0"/>
    <w:rsid w:val="6E3E3CD5"/>
    <w:rsid w:val="6EBC693B"/>
    <w:rsid w:val="6F045092"/>
    <w:rsid w:val="6F3C4D2E"/>
    <w:rsid w:val="6FFB272C"/>
    <w:rsid w:val="70377A4E"/>
    <w:rsid w:val="70F96F3C"/>
    <w:rsid w:val="71693A5F"/>
    <w:rsid w:val="7172585D"/>
    <w:rsid w:val="719B785F"/>
    <w:rsid w:val="71F413EE"/>
    <w:rsid w:val="721870E2"/>
    <w:rsid w:val="725A561D"/>
    <w:rsid w:val="728F494A"/>
    <w:rsid w:val="72DE2B1B"/>
    <w:rsid w:val="738F4EBF"/>
    <w:rsid w:val="73AA526E"/>
    <w:rsid w:val="73AD0947"/>
    <w:rsid w:val="73C16850"/>
    <w:rsid w:val="74783AEF"/>
    <w:rsid w:val="75106AC2"/>
    <w:rsid w:val="758903A3"/>
    <w:rsid w:val="759F0DD4"/>
    <w:rsid w:val="75CF63FA"/>
    <w:rsid w:val="75D92DD5"/>
    <w:rsid w:val="764778F5"/>
    <w:rsid w:val="76C341DB"/>
    <w:rsid w:val="77E1549F"/>
    <w:rsid w:val="78411105"/>
    <w:rsid w:val="789D2993"/>
    <w:rsid w:val="7A1F76F8"/>
    <w:rsid w:val="7A580134"/>
    <w:rsid w:val="7B150328"/>
    <w:rsid w:val="7B1C3157"/>
    <w:rsid w:val="7BC41E31"/>
    <w:rsid w:val="7C0520B7"/>
    <w:rsid w:val="7C2267A6"/>
    <w:rsid w:val="7C683105"/>
    <w:rsid w:val="7CB559C1"/>
    <w:rsid w:val="7CD4439F"/>
    <w:rsid w:val="7DBB54B6"/>
    <w:rsid w:val="7DC95F40"/>
    <w:rsid w:val="7E865F45"/>
    <w:rsid w:val="7F122F6D"/>
    <w:rsid w:val="7F344C03"/>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23"/>
    <w:qFormat/>
    <w:uiPriority w:val="0"/>
    <w:pPr>
      <w:keepNext/>
      <w:keepLines/>
      <w:spacing w:before="260" w:after="260" w:line="413" w:lineRule="auto"/>
      <w:outlineLvl w:val="2"/>
    </w:pPr>
    <w:rPr>
      <w:b/>
      <w:bCs/>
      <w:sz w:val="32"/>
      <w:szCs w:val="32"/>
    </w:rPr>
  </w:style>
  <w:style w:type="character" w:default="1" w:styleId="18">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Layout w:type="fixed"/>
      <w:tblCellMar>
        <w:top w:w="0" w:type="dxa"/>
        <w:left w:w="108" w:type="dxa"/>
        <w:bottom w:w="0" w:type="dxa"/>
        <w:right w:w="108" w:type="dxa"/>
      </w:tblCellMar>
    </w:tblPr>
  </w:style>
  <w:style w:type="paragraph" w:styleId="5">
    <w:name w:val="Body Text First Indent"/>
    <w:basedOn w:val="6"/>
    <w:link w:val="34"/>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6">
    <w:name w:val="Body Text"/>
    <w:basedOn w:val="1"/>
    <w:link w:val="35"/>
    <w:unhideWhenUsed/>
    <w:qFormat/>
    <w:uiPriority w:val="0"/>
    <w:pPr>
      <w:spacing w:after="120" w:line="240" w:lineRule="auto"/>
    </w:pPr>
    <w:rPr>
      <w:rFonts w:asciiTheme="minorHAnsi" w:hAnsiTheme="minorHAnsi" w:eastAsiaTheme="minorEastAsia" w:cstheme="minorBidi"/>
    </w:rPr>
  </w:style>
  <w:style w:type="paragraph" w:styleId="7">
    <w:name w:val="annotation text"/>
    <w:basedOn w:val="1"/>
    <w:qFormat/>
    <w:uiPriority w:val="0"/>
    <w:pPr>
      <w:jc w:val="left"/>
    </w:pPr>
  </w:style>
  <w:style w:type="paragraph" w:styleId="8">
    <w:name w:val="Body Text Indent"/>
    <w:basedOn w:val="1"/>
    <w:next w:val="9"/>
    <w:qFormat/>
    <w:uiPriority w:val="0"/>
    <w:pPr>
      <w:ind w:firstLine="645"/>
    </w:pPr>
    <w:rPr>
      <w:rFonts w:ascii="楷体_GB2312" w:eastAsia="楷体_GB2312"/>
      <w:sz w:val="32"/>
    </w:rPr>
  </w:style>
  <w:style w:type="paragraph" w:styleId="9">
    <w:name w:val="envelope return"/>
    <w:basedOn w:val="1"/>
    <w:unhideWhenUsed/>
    <w:qFormat/>
    <w:uiPriority w:val="99"/>
    <w:pPr>
      <w:snapToGrid w:val="0"/>
    </w:pPr>
    <w:rPr>
      <w:rFonts w:ascii="Arial" w:hAnsi="Arial"/>
    </w:rPr>
  </w:style>
  <w:style w:type="paragraph" w:styleId="10">
    <w:name w:val="Plain Text"/>
    <w:basedOn w:val="1"/>
    <w:unhideWhenUsed/>
    <w:qFormat/>
    <w:uiPriority w:val="99"/>
    <w:rPr>
      <w:rFonts w:ascii="宋体" w:hAnsi="Courier New" w:cs="Courier New"/>
      <w:szCs w:val="21"/>
    </w:rPr>
  </w:style>
  <w:style w:type="paragraph" w:styleId="11">
    <w:name w:val="toc 8"/>
    <w:basedOn w:val="1"/>
    <w:next w:val="1"/>
    <w:unhideWhenUsed/>
    <w:qFormat/>
    <w:uiPriority w:val="39"/>
    <w:pPr>
      <w:ind w:left="1470"/>
      <w:jc w:val="left"/>
    </w:pPr>
    <w:rPr>
      <w:rFonts w:ascii="Calibri" w:hAnsi="Calibri" w:cs="Calibri"/>
      <w:sz w:val="18"/>
      <w:szCs w:val="18"/>
    </w:rPr>
  </w:style>
  <w:style w:type="paragraph" w:styleId="12">
    <w:name w:val="Date"/>
    <w:basedOn w:val="1"/>
    <w:next w:val="1"/>
    <w:qFormat/>
    <w:uiPriority w:val="0"/>
    <w:rPr>
      <w:rFonts w:asciiTheme="minorHAnsi" w:hAnsiTheme="minorHAnsi" w:eastAsiaTheme="minorEastAsia" w:cstheme="minorBidi"/>
      <w:sz w:val="24"/>
      <w:szCs w:val="22"/>
    </w:rPr>
  </w:style>
  <w:style w:type="paragraph" w:styleId="13">
    <w:name w:val="footer"/>
    <w:basedOn w:val="1"/>
    <w:qFormat/>
    <w:uiPriority w:val="0"/>
    <w:pPr>
      <w:tabs>
        <w:tab w:val="center" w:pos="4153"/>
        <w:tab w:val="right" w:pos="8306"/>
      </w:tabs>
      <w:snapToGrid w:val="0"/>
      <w:jc w:val="left"/>
    </w:pPr>
    <w:rPr>
      <w:sz w:val="18"/>
    </w:rPr>
  </w:style>
  <w:style w:type="paragraph" w:styleId="14">
    <w:name w:val="Body Text First Indent 2"/>
    <w:basedOn w:val="8"/>
    <w:next w:val="1"/>
    <w:qFormat/>
    <w:uiPriority w:val="0"/>
    <w:pPr>
      <w:widowControl/>
      <w:ind w:firstLine="420" w:firstLineChars="200"/>
      <w:jc w:val="left"/>
    </w:pPr>
    <w:rPr>
      <w:rFonts w:ascii="Times New Roman" w:hAnsi="Times New Roman" w:eastAsia="宋?"/>
      <w:kern w:val="0"/>
      <w:szCs w:val="24"/>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rPr>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0"/>
    <w:rPr>
      <w:b/>
    </w:rPr>
  </w:style>
  <w:style w:type="character" w:styleId="20">
    <w:name w:val="Hyperlink"/>
    <w:basedOn w:val="18"/>
    <w:unhideWhenUsed/>
    <w:qFormat/>
    <w:uiPriority w:val="99"/>
    <w:rPr>
      <w:color w:val="0563C1"/>
      <w:u w:val="single"/>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3 Char"/>
    <w:basedOn w:val="18"/>
    <w:link w:val="2"/>
    <w:qFormat/>
    <w:uiPriority w:val="0"/>
    <w:rPr>
      <w:rFonts w:hint="eastAsia" w:ascii="宋体" w:hAnsi="宋体" w:eastAsia="宋体" w:cs="宋体"/>
      <w:b/>
      <w:kern w:val="2"/>
      <w:sz w:val="21"/>
      <w:shd w:val="clear" w:fill="FFFFFF"/>
    </w:rPr>
  </w:style>
  <w:style w:type="paragraph" w:customStyle="1" w:styleId="24">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25">
    <w:name w:val="首行缩进"/>
    <w:basedOn w:val="1"/>
    <w:qFormat/>
    <w:uiPriority w:val="0"/>
    <w:pPr>
      <w:ind w:firstLine="480" w:firstLineChars="200"/>
    </w:pPr>
    <w:rPr>
      <w:lang w:val="zh-CN"/>
    </w:rPr>
  </w:style>
  <w:style w:type="character" w:customStyle="1" w:styleId="26">
    <w:name w:val="NormalCharacter"/>
    <w:semiHidden/>
    <w:qFormat/>
    <w:uiPriority w:val="0"/>
  </w:style>
  <w:style w:type="paragraph" w:customStyle="1" w:styleId="27">
    <w:name w:val="Table Paragraph"/>
    <w:basedOn w:val="1"/>
    <w:qFormat/>
    <w:uiPriority w:val="1"/>
    <w:rPr>
      <w:rFonts w:ascii="宋体" w:hAnsi="宋体" w:eastAsia="宋体" w:cs="宋体"/>
      <w:lang w:val="zh-CN" w:eastAsia="zh-CN" w:bidi="zh-CN"/>
    </w:rPr>
  </w:style>
  <w:style w:type="table" w:customStyle="1" w:styleId="28">
    <w:name w:val="Table Normal"/>
    <w:unhideWhenUsed/>
    <w:qFormat/>
    <w:uiPriority w:val="0"/>
    <w:tblPr>
      <w:tblLayout w:type="fixed"/>
      <w:tblCellMar>
        <w:top w:w="0" w:type="dxa"/>
        <w:left w:w="0" w:type="dxa"/>
        <w:bottom w:w="0" w:type="dxa"/>
        <w:right w:w="0" w:type="dxa"/>
      </w:tblCellMar>
    </w:tbl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List Paragraph"/>
    <w:basedOn w:val="1"/>
    <w:qFormat/>
    <w:uiPriority w:val="34"/>
    <w:pPr>
      <w:ind w:firstLine="420" w:firstLineChars="200"/>
    </w:pPr>
  </w:style>
  <w:style w:type="paragraph" w:customStyle="1" w:styleId="31">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32">
    <w:name w:val="font31"/>
    <w:basedOn w:val="18"/>
    <w:qFormat/>
    <w:uiPriority w:val="0"/>
    <w:rPr>
      <w:rFonts w:hint="eastAsia" w:ascii="微软雅黑" w:hAnsi="微软雅黑" w:eastAsia="微软雅黑" w:cs="微软雅黑"/>
      <w:b/>
      <w:bCs/>
      <w:color w:val="000000"/>
      <w:sz w:val="24"/>
      <w:szCs w:val="24"/>
      <w:u w:val="none"/>
    </w:rPr>
  </w:style>
  <w:style w:type="character" w:customStyle="1" w:styleId="33">
    <w:name w:val="font91"/>
    <w:basedOn w:val="18"/>
    <w:qFormat/>
    <w:uiPriority w:val="0"/>
    <w:rPr>
      <w:rFonts w:hint="eastAsia" w:ascii="微软雅黑" w:hAnsi="微软雅黑" w:eastAsia="微软雅黑" w:cs="微软雅黑"/>
      <w:color w:val="000000"/>
      <w:sz w:val="24"/>
      <w:szCs w:val="24"/>
      <w:u w:val="none"/>
    </w:rPr>
  </w:style>
  <w:style w:type="character" w:customStyle="1" w:styleId="34">
    <w:name w:val="正文首行缩进 Char"/>
    <w:basedOn w:val="35"/>
    <w:link w:val="5"/>
    <w:qFormat/>
    <w:uiPriority w:val="0"/>
    <w:rPr>
      <w:rFonts w:hint="default" w:ascii="Times New Roman" w:hAnsi="Times New Roman" w:cs="Times New Roman"/>
      <w:kern w:val="2"/>
      <w:sz w:val="24"/>
      <w:szCs w:val="24"/>
    </w:rPr>
  </w:style>
  <w:style w:type="character" w:customStyle="1" w:styleId="35">
    <w:name w:val="正文文本 Char"/>
    <w:basedOn w:val="18"/>
    <w:link w:val="6"/>
    <w:qFormat/>
    <w:uiPriority w:val="0"/>
    <w:rPr>
      <w:kern w:val="2"/>
      <w:sz w:val="21"/>
      <w:szCs w:val="22"/>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6189</Words>
  <Characters>6468</Characters>
  <Lines>0</Lines>
  <Paragraphs>0</Paragraphs>
  <ScaleCrop>false</ScaleCrop>
  <LinksUpToDate>false</LinksUpToDate>
  <CharactersWithSpaces>7443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彭龙</cp:lastModifiedBy>
  <cp:lastPrinted>2024-08-12T08:31:00Z</cp:lastPrinted>
  <dcterms:modified xsi:type="dcterms:W3CDTF">2025-11-10T11:40:18Z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7ADFC7CDA90F415FBE2A92FB1F377784_13</vt:lpwstr>
  </property>
  <property fmtid="{D5CDD505-2E9C-101B-9397-08002B2CF9AE}" pid="4" name="KSOTemplateDocerSaveRecord">
    <vt:lpwstr>eyJoZGlkIjoiYzEzN2NhNDNmOTc1MDNmNDRhZjQ3MGFjZDliY2I4OWQiLCJ1c2VySWQiOiIzMjQ0NDM3MzMifQ==</vt:lpwstr>
  </property>
</Properties>
</file>